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6C" w:rsidRDefault="00793B6C" w:rsidP="005F0271">
      <w:pPr>
        <w:jc w:val="center"/>
        <w:rPr>
          <w:b/>
          <w:bCs/>
          <w:sz w:val="26"/>
          <w:szCs w:val="26"/>
          <w:rtl/>
        </w:rPr>
      </w:pPr>
      <w:bookmarkStart w:id="0" w:name="_Toc503130993"/>
      <w:r>
        <w:rPr>
          <w:noProof/>
        </w:rPr>
        <w:drawing>
          <wp:inline distT="0" distB="0" distL="0" distR="0" wp14:anchorId="1C84503C" wp14:editId="704508AA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B6C" w:rsidRDefault="00793B6C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793B6C" w:rsidRDefault="00793B6C" w:rsidP="00793B6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86575465" w:history="1">
        <w:r w:rsidRPr="0010083E">
          <w:rPr>
            <w:rStyle w:val="Hyperlink"/>
            <w:noProof/>
            <w:rtl/>
          </w:rPr>
          <w:t>תזכיר חוק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Toc86575465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793B6C" w:rsidRDefault="00793B6C" w:rsidP="00793B6C">
      <w:pPr>
        <w:pStyle w:val="TOC4"/>
        <w:rPr>
          <w:rFonts w:cstheme="minorBidi"/>
          <w:rtl/>
        </w:rPr>
      </w:pPr>
      <w:hyperlink w:anchor="_Toc86575466" w:history="1">
        <w:r w:rsidRPr="0010083E">
          <w:rPr>
            <w:rStyle w:val="Hyperlink"/>
            <w:rtl/>
          </w:rPr>
          <w:t>א. שם החוק המוצע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Toc86575466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793B6C" w:rsidRDefault="00793B6C" w:rsidP="00793B6C">
      <w:pPr>
        <w:pStyle w:val="TOC4"/>
        <w:rPr>
          <w:rFonts w:cstheme="minorBidi"/>
          <w:rtl/>
        </w:rPr>
      </w:pPr>
      <w:hyperlink w:anchor="_Toc86575467" w:history="1">
        <w:r w:rsidRPr="0010083E">
          <w:rPr>
            <w:rStyle w:val="Hyperlink"/>
            <w:rtl/>
          </w:rPr>
          <w:t>ב. מטרת החוק המוצע, הצורך בו, עיקרי הוראותיו והשפעתו על הדין הקיים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Toc86575467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793B6C" w:rsidRDefault="00793B6C" w:rsidP="00793B6C">
      <w:pPr>
        <w:pStyle w:val="TOC4"/>
        <w:rPr>
          <w:rFonts w:cstheme="minorBidi"/>
          <w:rtl/>
        </w:rPr>
      </w:pPr>
      <w:hyperlink w:anchor="_Toc86575468" w:history="1">
        <w:r w:rsidRPr="0010083E">
          <w:rPr>
            <w:rStyle w:val="Hyperlink"/>
            <w:rtl/>
          </w:rPr>
          <w:t>ג. השפעת תזכיר החוק המוצע על התקציב ועל התקן המנהלי של המשרד היוזם, משרדים אחרים ורשויות אחרות.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Toc86575468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793B6C" w:rsidRDefault="00793B6C" w:rsidP="00793B6C">
      <w:pPr>
        <w:pStyle w:val="TOC4"/>
        <w:rPr>
          <w:rFonts w:cstheme="minorBidi"/>
          <w:rtl/>
        </w:rPr>
      </w:pPr>
      <w:hyperlink w:anchor="_Toc86575469" w:history="1">
        <w:r w:rsidRPr="0010083E">
          <w:rPr>
            <w:rStyle w:val="Hyperlink"/>
            <w:rtl/>
          </w:rPr>
          <w:t>ד. להלן נוסח תזכיר החוק המוצע ודברי הסבר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Toc86575469 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>
          <w:rPr>
            <w:webHidden/>
            <w:rtl/>
          </w:rPr>
          <w:t>2</w:t>
        </w:r>
        <w:r>
          <w:rPr>
            <w:webHidden/>
            <w:rtl/>
          </w:rPr>
          <w:fldChar w:fldCharType="end"/>
        </w:r>
      </w:hyperlink>
    </w:p>
    <w:p w:rsidR="00793B6C" w:rsidRDefault="00793B6C" w:rsidP="00793B6C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86575470" w:history="1">
        <w:r w:rsidRPr="0010083E">
          <w:rPr>
            <w:rStyle w:val="Hyperlink"/>
            <w:noProof/>
            <w:rtl/>
          </w:rPr>
          <w:t>תזכיר חוק מיסוי מקרקעין (שבח וריכשה)(תיקון מס'...), התשפ"ב-2021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Toc86575470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793B6C" w:rsidRDefault="00793B6C" w:rsidP="00793B6C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86575471" w:history="1">
        <w:r w:rsidRPr="0010083E">
          <w:rPr>
            <w:rStyle w:val="Hyperlink"/>
            <w:noProof/>
            <w:rtl/>
          </w:rPr>
          <w:t>תיקון סעיף 9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Toc86575471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793B6C" w:rsidRDefault="00793B6C" w:rsidP="00793B6C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86575472" w:history="1">
        <w:r w:rsidRPr="0010083E">
          <w:rPr>
            <w:rStyle w:val="Hyperlink"/>
            <w:noProof/>
            <w:rtl/>
          </w:rPr>
          <w:t>תחולה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Toc86575472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793B6C" w:rsidRDefault="00793B6C" w:rsidP="00793B6C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86575473" w:history="1">
        <w:r w:rsidRPr="0010083E">
          <w:rPr>
            <w:rStyle w:val="Hyperlink"/>
            <w:noProof/>
            <w:rtl/>
          </w:rPr>
          <w:t>דברי הסבר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Toc86575473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793B6C" w:rsidRDefault="00793B6C" w:rsidP="00793B6C">
      <w:pPr>
        <w:rPr>
          <w:snapToGrid w:val="0"/>
          <w:rtl/>
        </w:rPr>
      </w:pPr>
      <w:r>
        <w:rPr>
          <w:rtl/>
        </w:rPr>
        <w:fldChar w:fldCharType="end"/>
      </w:r>
      <w:r>
        <w:rPr>
          <w:rtl/>
        </w:rPr>
        <w:br w:type="page"/>
      </w:r>
    </w:p>
    <w:p w:rsidR="00857D0C" w:rsidRDefault="00857D0C" w:rsidP="00722C14">
      <w:pPr>
        <w:pStyle w:val="1"/>
        <w:keepNext w:val="0"/>
        <w:keepLines w:val="0"/>
      </w:pPr>
      <w:bookmarkStart w:id="1" w:name="_Toc86575451"/>
      <w:bookmarkStart w:id="2" w:name="_Toc86575465"/>
      <w:r>
        <w:rPr>
          <w:rtl/>
        </w:rPr>
        <w:t>תזכיר חוק</w:t>
      </w:r>
      <w:bookmarkEnd w:id="0"/>
      <w:bookmarkEnd w:id="1"/>
      <w:bookmarkEnd w:id="2"/>
    </w:p>
    <w:p w:rsidR="00857D0C" w:rsidRDefault="00857D0C" w:rsidP="00722C14">
      <w:pPr>
        <w:rPr>
          <w:rtl/>
        </w:rPr>
      </w:pPr>
    </w:p>
    <w:p w:rsidR="00857D0C" w:rsidRDefault="00857D0C" w:rsidP="007F5334">
      <w:pPr>
        <w:pStyle w:val="4"/>
        <w:rPr>
          <w:rtl/>
        </w:rPr>
      </w:pPr>
      <w:bookmarkStart w:id="3" w:name="_Toc86575466"/>
      <w:r>
        <w:rPr>
          <w:rFonts w:hint="cs"/>
          <w:rtl/>
        </w:rPr>
        <w:t>שם החוק המוצע</w:t>
      </w:r>
      <w:bookmarkEnd w:id="3"/>
    </w:p>
    <w:p w:rsidR="00857D0C" w:rsidRDefault="00947782" w:rsidP="00722C14">
      <w:r w:rsidRPr="00947782">
        <w:rPr>
          <w:rtl/>
        </w:rPr>
        <w:t>חוק מיסוי מקרקעין (שבח ורכ</w:t>
      </w:r>
      <w:r w:rsidR="00472701">
        <w:rPr>
          <w:rFonts w:hint="cs"/>
          <w:rtl/>
        </w:rPr>
        <w:t>י</w:t>
      </w:r>
      <w:r w:rsidRPr="00947782">
        <w:rPr>
          <w:rtl/>
        </w:rPr>
        <w:t>שה)(תיקון מס'...), התשפ"ב-2021</w:t>
      </w:r>
      <w:r w:rsidR="00472701">
        <w:rPr>
          <w:rFonts w:hint="cs"/>
          <w:rtl/>
        </w:rPr>
        <w:t>.</w:t>
      </w:r>
    </w:p>
    <w:p w:rsidR="00857D0C" w:rsidRDefault="00857D0C" w:rsidP="00722C14">
      <w:pPr>
        <w:rPr>
          <w:rtl/>
        </w:rPr>
      </w:pPr>
    </w:p>
    <w:p w:rsidR="00857D0C" w:rsidRDefault="00857D0C" w:rsidP="007F5334">
      <w:pPr>
        <w:pStyle w:val="4"/>
        <w:rPr>
          <w:rtl/>
        </w:rPr>
      </w:pPr>
      <w:bookmarkStart w:id="4" w:name="_Toc86575467"/>
      <w:r>
        <w:rPr>
          <w:rFonts w:hint="cs"/>
          <w:rtl/>
        </w:rPr>
        <w:t>מטרת החוק המוצע, הצורך בו, עיקרי הוראותיו והשפעתו על הדין הקיים</w:t>
      </w:r>
      <w:bookmarkEnd w:id="4"/>
    </w:p>
    <w:p w:rsidR="005E61D6" w:rsidRDefault="005E61D6" w:rsidP="00535C73">
      <w:pPr>
        <w:rPr>
          <w:rtl/>
        </w:rPr>
      </w:pPr>
      <w:r>
        <w:rPr>
          <w:rFonts w:hint="cs"/>
          <w:rtl/>
        </w:rPr>
        <w:t xml:space="preserve">מטרת התיקון המוצע היא </w:t>
      </w:r>
      <w:r w:rsidR="00842B28">
        <w:rPr>
          <w:rFonts w:hint="cs"/>
          <w:rtl/>
        </w:rPr>
        <w:t xml:space="preserve">העלאת שיעור מס רכישה </w:t>
      </w:r>
      <w:proofErr w:type="spellStart"/>
      <w:r w:rsidR="00842B28">
        <w:rPr>
          <w:rFonts w:hint="cs"/>
          <w:rtl/>
        </w:rPr>
        <w:t>לרוכשי</w:t>
      </w:r>
      <w:proofErr w:type="spellEnd"/>
      <w:r w:rsidR="00842B28">
        <w:rPr>
          <w:rFonts w:hint="cs"/>
          <w:rtl/>
        </w:rPr>
        <w:t xml:space="preserve"> דירות מגורים, אשר הדירה הנרכשת אינה דירתם היחידה.</w:t>
      </w:r>
      <w:r w:rsidR="001162CF">
        <w:rPr>
          <w:rFonts w:hint="cs"/>
          <w:rtl/>
        </w:rPr>
        <w:t xml:space="preserve"> </w:t>
      </w:r>
    </w:p>
    <w:p w:rsidR="00857D0C" w:rsidRDefault="001162CF" w:rsidP="00535C73">
      <w:pPr>
        <w:rPr>
          <w:rtl/>
        </w:rPr>
      </w:pPr>
      <w:r>
        <w:rPr>
          <w:rFonts w:hint="cs"/>
          <w:rtl/>
        </w:rPr>
        <w:t>מוצע לתקן את סעיף 9(ג1ג) לחוק מיסוי מקרקעין</w:t>
      </w:r>
      <w:r w:rsidR="00535C73">
        <w:rPr>
          <w:rFonts w:hint="cs"/>
          <w:rtl/>
        </w:rPr>
        <w:t xml:space="preserve"> </w:t>
      </w:r>
      <w:r w:rsidR="00DE007A" w:rsidRPr="00DE007A">
        <w:rPr>
          <w:rtl/>
        </w:rPr>
        <w:t>(שבח ורכישה), התשכ"ג-1963</w:t>
      </w:r>
      <w:r w:rsidR="00DE007A">
        <w:rPr>
          <w:rFonts w:hint="cs"/>
          <w:rtl/>
        </w:rPr>
        <w:t xml:space="preserve"> </w:t>
      </w:r>
      <w:r w:rsidR="00535C73">
        <w:rPr>
          <w:rFonts w:hint="cs"/>
          <w:rtl/>
        </w:rPr>
        <w:t>לגבי רוכשים אלו,</w:t>
      </w:r>
      <w:r>
        <w:rPr>
          <w:rFonts w:hint="cs"/>
          <w:rtl/>
        </w:rPr>
        <w:t xml:space="preserve"> ולקבוע כי </w:t>
      </w:r>
      <w:r>
        <w:rPr>
          <w:rtl/>
        </w:rPr>
        <w:t>במכירת זכות במקרקעין שה</w:t>
      </w:r>
      <w:r>
        <w:rPr>
          <w:rFonts w:hint="cs"/>
          <w:rtl/>
        </w:rPr>
        <w:t>יא</w:t>
      </w:r>
      <w:r w:rsidRPr="00C80C8A">
        <w:rPr>
          <w:rtl/>
        </w:rPr>
        <w:t xml:space="preserve"> דירת מגורים יחול מס רכישה</w:t>
      </w:r>
      <w:r>
        <w:rPr>
          <w:rtl/>
        </w:rPr>
        <w:t xml:space="preserve"> בשיעור של 8% על חלק השווי שעד </w:t>
      </w:r>
      <w:r>
        <w:rPr>
          <w:rFonts w:hint="cs"/>
          <w:rtl/>
        </w:rPr>
        <w:t>5</w:t>
      </w:r>
      <w:r>
        <w:rPr>
          <w:rtl/>
        </w:rPr>
        <w:t>,</w:t>
      </w:r>
      <w:r>
        <w:rPr>
          <w:rFonts w:hint="cs"/>
          <w:rtl/>
        </w:rPr>
        <w:t>348</w:t>
      </w:r>
      <w:r>
        <w:rPr>
          <w:rtl/>
        </w:rPr>
        <w:t>,</w:t>
      </w:r>
      <w:r>
        <w:rPr>
          <w:rFonts w:hint="cs"/>
          <w:rtl/>
        </w:rPr>
        <w:t>565</w:t>
      </w:r>
      <w:r w:rsidRPr="00C80C8A">
        <w:rPr>
          <w:rtl/>
        </w:rPr>
        <w:t xml:space="preserve">  ₪ ומס רכישה בשיעור של 10% על חלק השווי העולה על סכום</w:t>
      </w:r>
      <w:r>
        <w:rPr>
          <w:rtl/>
        </w:rPr>
        <w:t xml:space="preserve"> זה.</w:t>
      </w:r>
    </w:p>
    <w:p w:rsidR="00857D0C" w:rsidRDefault="00857D0C" w:rsidP="00722C14">
      <w:pPr>
        <w:rPr>
          <w:rtl/>
        </w:rPr>
      </w:pPr>
    </w:p>
    <w:p w:rsidR="00857D0C" w:rsidRDefault="00857D0C" w:rsidP="007F5334">
      <w:pPr>
        <w:pStyle w:val="4"/>
        <w:rPr>
          <w:rtl/>
        </w:rPr>
      </w:pPr>
      <w:bookmarkStart w:id="5" w:name="_Toc86575468"/>
      <w:r>
        <w:rPr>
          <w:rFonts w:hint="cs"/>
          <w:rtl/>
        </w:rPr>
        <w:t>השפעת תזכיר החוק המוצע על התקציב ועל התקן המנהלי של המשרד היוזם, משרדים אחרים ורשויות אחרות.</w:t>
      </w:r>
      <w:bookmarkEnd w:id="5"/>
      <w:r>
        <w:rPr>
          <w:rFonts w:hint="cs"/>
          <w:rtl/>
        </w:rPr>
        <w:t xml:space="preserve"> </w:t>
      </w:r>
    </w:p>
    <w:p w:rsidR="00857D0C" w:rsidRDefault="00842B28" w:rsidP="00722C14">
      <w:pPr>
        <w:rPr>
          <w:rtl/>
        </w:rPr>
      </w:pPr>
      <w:r>
        <w:rPr>
          <w:rFonts w:hint="cs"/>
          <w:rtl/>
        </w:rPr>
        <w:t>ההערכה היא כי יהיה איזון בין תוספת ההכנסות בשל העלייה בשיעור במס לבין הפסד ההכנסות בשל הירידה במספר הדירות הנרכשות על ידי רוכשים אשר הדירה הנרכשת אינה דירתם היחידה.</w:t>
      </w:r>
    </w:p>
    <w:p w:rsidR="00857D0C" w:rsidRDefault="00857D0C" w:rsidP="00722C14">
      <w:pPr>
        <w:rPr>
          <w:rtl/>
        </w:rPr>
      </w:pPr>
    </w:p>
    <w:p w:rsidR="00857D0C" w:rsidRDefault="00857D0C" w:rsidP="00722C14">
      <w:pPr>
        <w:rPr>
          <w:rtl/>
        </w:rPr>
      </w:pPr>
    </w:p>
    <w:p w:rsidR="00857D0C" w:rsidRDefault="00857D0C" w:rsidP="007F5334">
      <w:pPr>
        <w:pStyle w:val="4"/>
        <w:rPr>
          <w:rtl/>
        </w:rPr>
      </w:pPr>
      <w:bookmarkStart w:id="6" w:name="_Toc86575469"/>
      <w:r>
        <w:rPr>
          <w:rFonts w:hint="cs"/>
          <w:rtl/>
        </w:rPr>
        <w:t>להלן נוסח תזכיר החוק המוצע ודברי הסבר</w:t>
      </w:r>
      <w:bookmarkEnd w:id="6"/>
    </w:p>
    <w:p w:rsidR="00857D0C" w:rsidRDefault="00857D0C" w:rsidP="00722C14">
      <w:pPr>
        <w:bidi w:val="0"/>
        <w:rPr>
          <w:rFonts w:asciiTheme="minorHAnsi" w:hAnsiTheme="minorHAnsi"/>
        </w:rPr>
      </w:pPr>
      <w:r>
        <w:rPr>
          <w:rtl/>
        </w:rPr>
        <w:br w:type="page"/>
      </w:r>
    </w:p>
    <w:p w:rsidR="00857D0C" w:rsidRDefault="00947782" w:rsidP="00722C14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תזכיר חוק מטעם משרד</w:t>
      </w:r>
      <w:r>
        <w:rPr>
          <w:rFonts w:hint="cs"/>
          <w:rtl/>
        </w:rPr>
        <w:t xml:space="preserve"> האוצר</w:t>
      </w:r>
      <w:r w:rsidR="00857D0C">
        <w:rPr>
          <w:rtl/>
        </w:rPr>
        <w:t xml:space="preserve">: </w:t>
      </w:r>
    </w:p>
    <w:p w:rsidR="00857D0C" w:rsidRDefault="00947782" w:rsidP="00722C14">
      <w:pPr>
        <w:pStyle w:val="HeadHatzaotHok"/>
        <w:keepNext w:val="0"/>
        <w:keepLines w:val="0"/>
        <w:rPr>
          <w:rtl/>
        </w:rPr>
      </w:pPr>
      <w:bookmarkStart w:id="7" w:name="_Toc503130994"/>
      <w:bookmarkStart w:id="8" w:name="_Toc86575452"/>
      <w:bookmarkStart w:id="9" w:name="_Toc86575470"/>
      <w:r>
        <w:rPr>
          <w:rtl/>
        </w:rPr>
        <w:t>תזכיר חוק</w:t>
      </w:r>
      <w:r w:rsidR="00793B6C">
        <w:rPr>
          <w:rFonts w:hint="cs"/>
          <w:rtl/>
        </w:rPr>
        <w:t xml:space="preserve"> מיסוי מקרקעין (שבח ור</w:t>
      </w:r>
      <w:r>
        <w:rPr>
          <w:rFonts w:hint="cs"/>
          <w:rtl/>
        </w:rPr>
        <w:t>כ</w:t>
      </w:r>
      <w:r w:rsidR="00793B6C">
        <w:rPr>
          <w:rFonts w:hint="cs"/>
          <w:rtl/>
        </w:rPr>
        <w:t>י</w:t>
      </w:r>
      <w:r>
        <w:rPr>
          <w:rFonts w:hint="cs"/>
          <w:rtl/>
        </w:rPr>
        <w:t>שה)</w:t>
      </w:r>
      <w:r w:rsidR="00857D0C">
        <w:rPr>
          <w:rtl/>
        </w:rPr>
        <w:t>(תיקון מס'...)</w:t>
      </w:r>
      <w:bookmarkEnd w:id="7"/>
      <w:r>
        <w:rPr>
          <w:rFonts w:hint="cs"/>
          <w:rtl/>
        </w:rPr>
        <w:t>, התשפ"ב-2021</w:t>
      </w:r>
      <w:bookmarkEnd w:id="8"/>
      <w:bookmarkEnd w:id="9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4650"/>
      </w:tblGrid>
      <w:tr w:rsidR="00857D0C" w:rsidTr="00B547A8">
        <w:trPr>
          <w:cantSplit/>
          <w:trHeight w:val="60"/>
        </w:trPr>
        <w:tc>
          <w:tcPr>
            <w:tcW w:w="1871" w:type="dxa"/>
          </w:tcPr>
          <w:p w:rsidR="00857D0C" w:rsidRDefault="00857D0C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857D0C" w:rsidRDefault="00857D0C">
            <w:pPr>
              <w:pStyle w:val="TableText"/>
            </w:pPr>
          </w:p>
        </w:tc>
        <w:tc>
          <w:tcPr>
            <w:tcW w:w="7146" w:type="dxa"/>
            <w:gridSpan w:val="5"/>
          </w:tcPr>
          <w:p w:rsidR="00857D0C" w:rsidRDefault="00857D0C">
            <w:pPr>
              <w:pStyle w:val="TableHead"/>
            </w:pPr>
          </w:p>
        </w:tc>
      </w:tr>
      <w:tr w:rsidR="00857D0C" w:rsidTr="00B547A8">
        <w:trPr>
          <w:cantSplit/>
          <w:trHeight w:val="60"/>
        </w:trPr>
        <w:tc>
          <w:tcPr>
            <w:tcW w:w="1871" w:type="dxa"/>
          </w:tcPr>
          <w:p w:rsidR="00857D0C" w:rsidRDefault="00472701">
            <w:pPr>
              <w:pStyle w:val="TableSideHeading"/>
            </w:pPr>
            <w:bookmarkStart w:id="10" w:name="_Toc86575453"/>
            <w:bookmarkStart w:id="11" w:name="_Toc86575471"/>
            <w:r>
              <w:rPr>
                <w:rFonts w:hint="cs"/>
                <w:rtl/>
              </w:rPr>
              <w:t>תיקון סעיף 9</w:t>
            </w:r>
            <w:bookmarkEnd w:id="10"/>
            <w:bookmarkEnd w:id="11"/>
          </w:p>
        </w:tc>
        <w:tc>
          <w:tcPr>
            <w:tcW w:w="624" w:type="dxa"/>
          </w:tcPr>
          <w:p w:rsidR="00857D0C" w:rsidRDefault="00857D0C" w:rsidP="00857D0C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5"/>
          </w:tcPr>
          <w:p w:rsidR="00857D0C" w:rsidRDefault="00857D0C">
            <w:pPr>
              <w:pStyle w:val="TableBlock"/>
            </w:pPr>
            <w:r>
              <w:rPr>
                <w:rFonts w:hint="cs"/>
                <w:rtl/>
              </w:rPr>
              <w:t>ב</w:t>
            </w:r>
            <w:r w:rsidR="00E27CFB">
              <w:rPr>
                <w:rFonts w:hint="cs"/>
                <w:rtl/>
              </w:rPr>
              <w:t>סעיף 9 ל</w:t>
            </w:r>
            <w:r>
              <w:rPr>
                <w:rFonts w:hint="cs"/>
                <w:rtl/>
              </w:rPr>
              <w:t>חוק מיסוי מקרקעין</w:t>
            </w:r>
            <w:r>
              <w:t xml:space="preserve"> </w:t>
            </w:r>
            <w:r>
              <w:rPr>
                <w:rFonts w:hint="cs"/>
                <w:rtl/>
              </w:rPr>
              <w:t>(שבח ורכישה), התשכ"ג-1963</w:t>
            </w:r>
            <w:r>
              <w:rPr>
                <w:rStyle w:val="a7"/>
                <w:rtl/>
              </w:rPr>
              <w:footnoteReference w:id="1"/>
            </w:r>
            <w:r w:rsidR="00E27CFB">
              <w:rPr>
                <w:rFonts w:hint="cs"/>
                <w:rtl/>
              </w:rPr>
              <w:t xml:space="preserve"> (להלן- החוק העיקרי)</w:t>
            </w:r>
            <w:r w:rsidR="00B547A8">
              <w:rPr>
                <w:rFonts w:hint="cs"/>
                <w:rtl/>
              </w:rPr>
              <w:t>-</w:t>
            </w:r>
            <w:bookmarkStart w:id="12" w:name="_GoBack"/>
            <w:bookmarkEnd w:id="12"/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522" w:type="dxa"/>
            <w:gridSpan w:val="4"/>
          </w:tcPr>
          <w:p w:rsidR="00E27CFB" w:rsidRDefault="00E27CFB" w:rsidP="00E27CFB">
            <w:pPr>
              <w:pStyle w:val="TableBlock"/>
              <w:numPr>
                <w:ilvl w:val="0"/>
                <w:numId w:val="2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בסעיף קטן (ג1ג)-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5898" w:type="dxa"/>
            <w:gridSpan w:val="3"/>
          </w:tcPr>
          <w:p w:rsidR="00E27CFB" w:rsidRDefault="00E27CFB" w:rsidP="00E27CFB">
            <w:pPr>
              <w:pStyle w:val="TableBlock"/>
              <w:numPr>
                <w:ilvl w:val="0"/>
                <w:numId w:val="24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בפסקה (1), במקום "</w:t>
            </w:r>
            <w:r w:rsidRPr="00BB434A">
              <w:rPr>
                <w:rtl/>
              </w:rPr>
              <w:t xml:space="preserve">ביום כ"ה באב </w:t>
            </w:r>
            <w:proofErr w:type="spellStart"/>
            <w:r w:rsidRPr="00BB434A">
              <w:rPr>
                <w:rtl/>
              </w:rPr>
              <w:t>התשע"ג</w:t>
            </w:r>
            <w:proofErr w:type="spellEnd"/>
            <w:r w:rsidRPr="00BB434A">
              <w:rPr>
                <w:rtl/>
              </w:rPr>
              <w:t xml:space="preserve"> (1 באוגוסט 2013) או לאחריו</w:t>
            </w:r>
            <w:r>
              <w:rPr>
                <w:rFonts w:hint="cs"/>
                <w:rtl/>
              </w:rPr>
              <w:t xml:space="preserve">" יבוא "בתקופה שמיום </w:t>
            </w:r>
            <w:r w:rsidRPr="00BB434A">
              <w:rPr>
                <w:rtl/>
              </w:rPr>
              <w:t xml:space="preserve">כ"ה באב </w:t>
            </w:r>
            <w:proofErr w:type="spellStart"/>
            <w:r w:rsidRPr="00BB434A">
              <w:rPr>
                <w:rtl/>
              </w:rPr>
              <w:t>ה</w:t>
            </w:r>
            <w:r>
              <w:rPr>
                <w:rtl/>
              </w:rPr>
              <w:t>תשע"ג</w:t>
            </w:r>
            <w:proofErr w:type="spellEnd"/>
            <w:r>
              <w:rPr>
                <w:rtl/>
              </w:rPr>
              <w:t xml:space="preserve"> (1 באוגוסט 2013) </w:t>
            </w:r>
            <w:r>
              <w:rPr>
                <w:rFonts w:hint="cs"/>
                <w:rtl/>
              </w:rPr>
              <w:t>ועד ליום שלפני תחילתו של חוק מיסוי מקרקעין (שבח ורכישה)(תיקון מס...), התשפ"ב-2021"</w:t>
            </w:r>
            <w:r w:rsidR="00472701">
              <w:rPr>
                <w:rFonts w:hint="cs"/>
                <w:rtl/>
              </w:rPr>
              <w:t>;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 w:rsidP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5898" w:type="dxa"/>
            <w:gridSpan w:val="3"/>
          </w:tcPr>
          <w:p w:rsidR="00E27CFB" w:rsidRDefault="00E27CFB" w:rsidP="00E27CFB">
            <w:pPr>
              <w:pStyle w:val="TableBlock"/>
              <w:numPr>
                <w:ilvl w:val="0"/>
                <w:numId w:val="2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אחרי פסקה (1) יבוא -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5274" w:type="dxa"/>
            <w:gridSpan w:val="2"/>
          </w:tcPr>
          <w:p w:rsidR="00E27CFB" w:rsidRDefault="00E27CFB">
            <w:pPr>
              <w:pStyle w:val="TableBlock"/>
            </w:pPr>
            <w:r>
              <w:rPr>
                <w:rFonts w:hint="cs"/>
                <w:rtl/>
              </w:rPr>
              <w:t xml:space="preserve">"(1א) </w:t>
            </w:r>
            <w:r w:rsidRPr="00B547A8">
              <w:rPr>
                <w:rtl/>
              </w:rPr>
              <w:t>על אף ה</w:t>
            </w:r>
            <w:r>
              <w:rPr>
                <w:rtl/>
              </w:rPr>
              <w:t>אמור בפסקה (1)</w:t>
            </w:r>
            <w:r w:rsidRPr="00B547A8">
              <w:rPr>
                <w:rtl/>
              </w:rPr>
              <w:t>, במכירת זכות במקרקעין, שהם בניין או חלק ממנו שהוא</w:t>
            </w:r>
            <w:r>
              <w:rPr>
                <w:rtl/>
              </w:rPr>
              <w:t xml:space="preserve"> דירת מגורים, שנעשתה מיום </w:t>
            </w:r>
            <w:r>
              <w:rPr>
                <w:rFonts w:hint="cs"/>
                <w:rtl/>
              </w:rPr>
              <w:t>תחילו של חוק מיסוי מקרקעין (שבח ורכישה)(תיקון מס...), התשפ"ב-2021</w:t>
            </w:r>
            <w:r w:rsidRPr="00B547A8">
              <w:rPr>
                <w:rtl/>
              </w:rPr>
              <w:t>, ישולם מס רכישה בשיעור משווי הזכות הנמכרת כקבוע להלן: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4650" w:type="dxa"/>
          </w:tcPr>
          <w:p w:rsidR="00E27CFB" w:rsidRDefault="00E27CFB" w:rsidP="00E27CFB">
            <w:pPr>
              <w:pStyle w:val="TableBlock"/>
              <w:numPr>
                <w:ilvl w:val="0"/>
                <w:numId w:val="25"/>
              </w:numPr>
              <w:tabs>
                <w:tab w:val="left" w:pos="624"/>
              </w:tabs>
            </w:pPr>
            <w:r w:rsidRPr="00B547A8">
              <w:rPr>
                <w:rtl/>
              </w:rPr>
              <w:t xml:space="preserve">על חלק השווי שעד </w:t>
            </w:r>
            <w:r>
              <w:rPr>
                <w:rFonts w:hint="cs"/>
                <w:rtl/>
              </w:rPr>
              <w:t>5</w:t>
            </w:r>
            <w:r w:rsidRPr="00B547A8">
              <w:rPr>
                <w:rtl/>
              </w:rPr>
              <w:t>,</w:t>
            </w:r>
            <w:r>
              <w:rPr>
                <w:rFonts w:hint="cs"/>
                <w:rtl/>
              </w:rPr>
              <w:t>348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565</w:t>
            </w:r>
            <w:r w:rsidRPr="00B547A8">
              <w:rPr>
                <w:rtl/>
              </w:rPr>
              <w:t xml:space="preserve"> שקלים חדשים - 8%;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 w:rsidP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4650" w:type="dxa"/>
          </w:tcPr>
          <w:p w:rsidR="00E27CFB" w:rsidRPr="00B547A8" w:rsidRDefault="00E27CFB" w:rsidP="00E27CFB">
            <w:pPr>
              <w:pStyle w:val="TableBlock"/>
              <w:numPr>
                <w:ilvl w:val="0"/>
                <w:numId w:val="25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על חלק השווי העולה על </w:t>
            </w:r>
            <w:r w:rsidRPr="00641FAD">
              <w:rPr>
                <w:rFonts w:hint="cs"/>
                <w:rtl/>
              </w:rPr>
              <w:t xml:space="preserve">5,348,565 </w:t>
            </w:r>
            <w:r>
              <w:rPr>
                <w:rFonts w:hint="cs"/>
                <w:rtl/>
              </w:rPr>
              <w:t>שקלים חדשים - 10%.";</w:t>
            </w:r>
          </w:p>
        </w:tc>
      </w:tr>
      <w:tr w:rsidR="00E27CFB" w:rsidTr="003C76DF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 w:rsidP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5898" w:type="dxa"/>
            <w:gridSpan w:val="3"/>
          </w:tcPr>
          <w:p w:rsidR="00E27CFB" w:rsidRDefault="00E27CFB" w:rsidP="00E27CFB">
            <w:pPr>
              <w:pStyle w:val="TableBlock"/>
              <w:numPr>
                <w:ilvl w:val="0"/>
                <w:numId w:val="24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בפסקה (2), במקום "על אף הוראות פסקה (1)" יבוא "על אף הוראות פסקאות (1) ו-(1א)</w:t>
            </w:r>
            <w:r w:rsidR="00472701">
              <w:rPr>
                <w:rFonts w:hint="cs"/>
                <w:rtl/>
              </w:rPr>
              <w:t>";</w:t>
            </w:r>
          </w:p>
        </w:tc>
      </w:tr>
      <w:tr w:rsidR="00BB434A">
        <w:trPr>
          <w:cantSplit/>
          <w:trHeight w:val="60"/>
        </w:trPr>
        <w:tc>
          <w:tcPr>
            <w:tcW w:w="1871" w:type="dxa"/>
          </w:tcPr>
          <w:p w:rsidR="00BB434A" w:rsidRDefault="00BB434A">
            <w:pPr>
              <w:pStyle w:val="TableSideHeading"/>
            </w:pPr>
          </w:p>
        </w:tc>
        <w:tc>
          <w:tcPr>
            <w:tcW w:w="624" w:type="dxa"/>
          </w:tcPr>
          <w:p w:rsidR="00BB434A" w:rsidRDefault="00BB434A">
            <w:pPr>
              <w:pStyle w:val="TableText"/>
            </w:pPr>
          </w:p>
        </w:tc>
        <w:tc>
          <w:tcPr>
            <w:tcW w:w="624" w:type="dxa"/>
          </w:tcPr>
          <w:p w:rsidR="00BB434A" w:rsidRDefault="00BB434A">
            <w:pPr>
              <w:pStyle w:val="TableText"/>
            </w:pPr>
          </w:p>
        </w:tc>
        <w:tc>
          <w:tcPr>
            <w:tcW w:w="6522" w:type="dxa"/>
            <w:gridSpan w:val="4"/>
          </w:tcPr>
          <w:p w:rsidR="00BB434A" w:rsidRDefault="00E27CFB" w:rsidP="00E27CFB">
            <w:pPr>
              <w:pStyle w:val="TableBlock"/>
              <w:numPr>
                <w:ilvl w:val="0"/>
                <w:numId w:val="23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בסעיף קטן (ג2), בסופו יבוא-</w:t>
            </w:r>
          </w:p>
        </w:tc>
      </w:tr>
      <w:tr w:rsidR="00E27CFB">
        <w:trPr>
          <w:cantSplit/>
          <w:trHeight w:val="60"/>
        </w:trPr>
        <w:tc>
          <w:tcPr>
            <w:tcW w:w="1871" w:type="dxa"/>
          </w:tcPr>
          <w:p w:rsidR="00E27CFB" w:rsidRDefault="00E27CFB">
            <w:pPr>
              <w:pStyle w:val="TableSideHeading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624" w:type="dxa"/>
          </w:tcPr>
          <w:p w:rsidR="00E27CFB" w:rsidRDefault="00E27CFB">
            <w:pPr>
              <w:pStyle w:val="TableText"/>
            </w:pPr>
          </w:p>
        </w:tc>
        <w:tc>
          <w:tcPr>
            <w:tcW w:w="5898" w:type="dxa"/>
            <w:gridSpan w:val="3"/>
          </w:tcPr>
          <w:p w:rsidR="00E27CFB" w:rsidRDefault="00E27CFB" w:rsidP="00E27CFB">
            <w:pPr>
              <w:pStyle w:val="TableBlock"/>
            </w:pPr>
            <w:r>
              <w:rPr>
                <w:rFonts w:hint="cs"/>
                <w:rtl/>
              </w:rPr>
              <w:t>"</w:t>
            </w:r>
            <w:r w:rsidRPr="00E27CFB">
              <w:rPr>
                <w:rtl/>
              </w:rPr>
              <w:t>לעניין תיאום הסכומים הנקובים בסעיף קטן (ג1ג)</w:t>
            </w:r>
            <w:r>
              <w:rPr>
                <w:rFonts w:hint="cs"/>
                <w:rtl/>
              </w:rPr>
              <w:t>(1א)</w:t>
            </w:r>
            <w:r>
              <w:rPr>
                <w:rtl/>
              </w:rPr>
              <w:t xml:space="preserve"> – המדד שפורסם ביום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' בשבט </w:t>
            </w:r>
            <w:proofErr w:type="spellStart"/>
            <w:r>
              <w:rPr>
                <w:rtl/>
              </w:rPr>
              <w:t>התש</w:t>
            </w:r>
            <w:r>
              <w:rPr>
                <w:rFonts w:hint="cs"/>
                <w:rtl/>
              </w:rPr>
              <w:t>פ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א</w:t>
            </w:r>
            <w:proofErr w:type="spellEnd"/>
            <w:r w:rsidRPr="00E27CFB">
              <w:rPr>
                <w:rtl/>
              </w:rPr>
              <w:t xml:space="preserve"> (15 בינואר </w:t>
            </w:r>
            <w:r>
              <w:rPr>
                <w:rFonts w:hint="cs"/>
                <w:rtl/>
              </w:rPr>
              <w:t>2021</w:t>
            </w:r>
            <w:r w:rsidRPr="00E27CFB">
              <w:rPr>
                <w:rtl/>
              </w:rPr>
              <w:t>).</w:t>
            </w:r>
            <w:r w:rsidR="00472701">
              <w:rPr>
                <w:rFonts w:hint="cs"/>
                <w:rtl/>
              </w:rPr>
              <w:t>".</w:t>
            </w:r>
          </w:p>
        </w:tc>
      </w:tr>
      <w:tr w:rsidR="00472701">
        <w:trPr>
          <w:cantSplit/>
          <w:trHeight w:val="60"/>
        </w:trPr>
        <w:tc>
          <w:tcPr>
            <w:tcW w:w="1871" w:type="dxa"/>
          </w:tcPr>
          <w:p w:rsidR="00472701" w:rsidRDefault="00472701" w:rsidP="007E751D">
            <w:pPr>
              <w:pStyle w:val="TableSideHeading"/>
              <w:keepLines w:val="0"/>
            </w:pPr>
            <w:bookmarkStart w:id="13" w:name="_Toc86575454"/>
            <w:bookmarkStart w:id="14" w:name="_Toc86575472"/>
            <w:r>
              <w:rPr>
                <w:rFonts w:hint="cs"/>
                <w:rtl/>
              </w:rPr>
              <w:t>תחולה</w:t>
            </w:r>
            <w:bookmarkEnd w:id="13"/>
            <w:bookmarkEnd w:id="14"/>
          </w:p>
        </w:tc>
        <w:tc>
          <w:tcPr>
            <w:tcW w:w="624" w:type="dxa"/>
          </w:tcPr>
          <w:p w:rsidR="00472701" w:rsidRDefault="00472701" w:rsidP="00472701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5"/>
          </w:tcPr>
          <w:p w:rsidR="00472701" w:rsidRPr="00C34DE2" w:rsidRDefault="00472701" w:rsidP="007E751D">
            <w:pPr>
              <w:pStyle w:val="TableBlock"/>
              <w:keepLines w:val="0"/>
            </w:pPr>
            <w:r>
              <w:rPr>
                <w:rFonts w:hint="cs"/>
                <w:rtl/>
              </w:rPr>
              <w:t xml:space="preserve">סעיף 9 לחוק העיקרי, כנוסחו בסעיף 1 לחוק זה, יחול על מכירת בניין או חלק ממנו שהוא דירת מגורים מיום תחילתו של חוק זה ואילך. </w:t>
            </w:r>
          </w:p>
        </w:tc>
      </w:tr>
    </w:tbl>
    <w:p w:rsidR="00857D0C" w:rsidRDefault="00857D0C" w:rsidP="00722C14"/>
    <w:p w:rsidR="00857D0C" w:rsidRDefault="00857D0C" w:rsidP="00722C14">
      <w:pPr>
        <w:pStyle w:val="HeadDivreiHesber"/>
        <w:rPr>
          <w:rtl/>
        </w:rPr>
      </w:pPr>
      <w:bookmarkStart w:id="15" w:name="_Toc86575455"/>
      <w:bookmarkStart w:id="16" w:name="_Toc86575473"/>
      <w:r>
        <w:rPr>
          <w:rtl/>
        </w:rPr>
        <w:t>דברי הסבר</w:t>
      </w:r>
      <w:bookmarkEnd w:id="15"/>
      <w:bookmarkEnd w:id="16"/>
    </w:p>
    <w:p w:rsidR="00857D0C" w:rsidRDefault="00857D0C" w:rsidP="00722C14">
      <w:pPr>
        <w:pStyle w:val="Hesber1st"/>
        <w:rPr>
          <w:rtl/>
        </w:rPr>
      </w:pPr>
    </w:p>
    <w:p w:rsidR="002D1BAF" w:rsidRDefault="002D1BAF" w:rsidP="002D1BAF">
      <w:pPr>
        <w:rPr>
          <w:rtl/>
        </w:rPr>
      </w:pPr>
      <w:r>
        <w:rPr>
          <w:rtl/>
        </w:rPr>
        <w:t>שוק הנדל"ן למגורים מאופיין בהיצע קשיח בטווח הזמן הקצר, ללא אפשרות להתאים את ההיצע לשינויים בביקוש</w:t>
      </w:r>
      <w:r>
        <w:rPr>
          <w:rFonts w:hint="cs"/>
          <w:rtl/>
        </w:rPr>
        <w:t xml:space="preserve">. </w:t>
      </w:r>
      <w:r>
        <w:rPr>
          <w:rtl/>
        </w:rPr>
        <w:t xml:space="preserve">בהתאם </w:t>
      </w:r>
      <w:r>
        <w:rPr>
          <w:rFonts w:hint="cs"/>
          <w:rtl/>
        </w:rPr>
        <w:t xml:space="preserve">לכך, </w:t>
      </w:r>
      <w:r>
        <w:rPr>
          <w:rtl/>
        </w:rPr>
        <w:t xml:space="preserve">שינויים בביקוש מובילים באופן ישיר לעליה במחירי הדירות. נתוני העבר מצביעים על כך שעליית הביקוש של המשקיעים </w:t>
      </w:r>
      <w:r>
        <w:rPr>
          <w:rFonts w:hint="cs"/>
          <w:rtl/>
        </w:rPr>
        <w:t xml:space="preserve">לדירות מגורים </w:t>
      </w:r>
      <w:r>
        <w:rPr>
          <w:rtl/>
        </w:rPr>
        <w:t>מייצרת "ביקוש עודף" אשר מתווסף ובא על חשבון רכישות הזוגות הצעירים. ביקושים אלו מביאים לעלייה במחירי הדירות ודוחקים את הזוגות הצעירים אל מחוץ לשוק.</w:t>
      </w:r>
    </w:p>
    <w:p w:rsidR="002D1BAF" w:rsidRDefault="002D1BAF" w:rsidP="00947782">
      <w:pPr>
        <w:rPr>
          <w:rtl/>
        </w:rPr>
      </w:pPr>
      <w:r>
        <w:rPr>
          <w:rFonts w:hint="cs"/>
          <w:rtl/>
        </w:rPr>
        <w:t xml:space="preserve">ביום ח' באב </w:t>
      </w:r>
      <w:proofErr w:type="spellStart"/>
      <w:r>
        <w:rPr>
          <w:rFonts w:hint="cs"/>
          <w:rtl/>
        </w:rPr>
        <w:t>התש"ף</w:t>
      </w:r>
      <w:proofErr w:type="spellEnd"/>
      <w:r>
        <w:rPr>
          <w:rFonts w:hint="cs"/>
          <w:rtl/>
        </w:rPr>
        <w:t xml:space="preserve"> (29 ביולי 2020) פורסם תיקון מס' 95 לחוק מיסוי מקרקעין (שבח ורכישה), התשכ"ג-1963</w:t>
      </w:r>
      <w:r w:rsidR="00116EDB">
        <w:rPr>
          <w:rFonts w:hint="cs"/>
          <w:rtl/>
        </w:rPr>
        <w:t xml:space="preserve"> (להלן-חוק מיסוי מקרקעין)</w:t>
      </w:r>
      <w:r>
        <w:rPr>
          <w:rFonts w:hint="cs"/>
          <w:rtl/>
        </w:rPr>
        <w:t xml:space="preserve">, אשר הוריד את שיעור מס הרכישה </w:t>
      </w:r>
      <w:proofErr w:type="spellStart"/>
      <w:r>
        <w:rPr>
          <w:rFonts w:hint="cs"/>
          <w:rtl/>
        </w:rPr>
        <w:t>לרוכשי</w:t>
      </w:r>
      <w:proofErr w:type="spellEnd"/>
      <w:r>
        <w:rPr>
          <w:rFonts w:hint="cs"/>
          <w:rtl/>
        </w:rPr>
        <w:t xml:space="preserve"> דירת מגורים, אשר הדירה</w:t>
      </w:r>
      <w:r w:rsidR="000B5A07">
        <w:rPr>
          <w:rFonts w:hint="cs"/>
          <w:rtl/>
        </w:rPr>
        <w:t xml:space="preserve"> הנרכשת</w:t>
      </w:r>
      <w:r>
        <w:rPr>
          <w:rFonts w:hint="cs"/>
          <w:rtl/>
        </w:rPr>
        <w:t xml:space="preserve"> אינה דירתם </w:t>
      </w:r>
      <w:r w:rsidR="00947782">
        <w:rPr>
          <w:rFonts w:hint="cs"/>
          <w:rtl/>
        </w:rPr>
        <w:t>היחידה</w:t>
      </w:r>
      <w:r>
        <w:rPr>
          <w:rFonts w:hint="cs"/>
          <w:rtl/>
        </w:rPr>
        <w:t xml:space="preserve">, באמצעות ביטול </w:t>
      </w:r>
      <w:r w:rsidR="00116EDB">
        <w:rPr>
          <w:rFonts w:hint="cs"/>
          <w:rtl/>
        </w:rPr>
        <w:t>הוראת השעה</w:t>
      </w:r>
      <w:r>
        <w:rPr>
          <w:rFonts w:hint="cs"/>
          <w:rtl/>
        </w:rPr>
        <w:t xml:space="preserve"> להעלאת שיעור המס על </w:t>
      </w:r>
      <w:proofErr w:type="spellStart"/>
      <w:r>
        <w:rPr>
          <w:rFonts w:hint="cs"/>
          <w:rtl/>
        </w:rPr>
        <w:t>רוכשי</w:t>
      </w:r>
      <w:proofErr w:type="spellEnd"/>
      <w:r>
        <w:rPr>
          <w:rFonts w:hint="cs"/>
          <w:rtl/>
        </w:rPr>
        <w:t xml:space="preserve"> דירות אלו.</w:t>
      </w:r>
      <w:r w:rsidR="00116EDB">
        <w:rPr>
          <w:rFonts w:hint="cs"/>
          <w:rtl/>
        </w:rPr>
        <w:t xml:space="preserve"> הוראת השעה להעלאת שיעור המס נקבעה ביום ו' בתמוז </w:t>
      </w:r>
      <w:proofErr w:type="spellStart"/>
      <w:r w:rsidR="00116EDB">
        <w:rPr>
          <w:rFonts w:hint="cs"/>
          <w:rtl/>
        </w:rPr>
        <w:t>התשע"ה</w:t>
      </w:r>
      <w:proofErr w:type="spellEnd"/>
      <w:r w:rsidR="00116EDB">
        <w:rPr>
          <w:rFonts w:hint="cs"/>
          <w:rtl/>
        </w:rPr>
        <w:t xml:space="preserve">  (23 ביוני 2015), במסגרת תיקון 81 לחוק מיסוי מקרקעין, </w:t>
      </w:r>
      <w:proofErr w:type="spellStart"/>
      <w:r w:rsidR="00116EDB">
        <w:rPr>
          <w:rFonts w:hint="cs"/>
          <w:rtl/>
        </w:rPr>
        <w:t>והיתה</w:t>
      </w:r>
      <w:proofErr w:type="spellEnd"/>
      <w:r w:rsidR="00116EDB">
        <w:rPr>
          <w:rFonts w:hint="cs"/>
          <w:rtl/>
        </w:rPr>
        <w:t xml:space="preserve"> אמורה לעמוד בתוקף עד תום שנת 2020. </w:t>
      </w:r>
      <w:r>
        <w:rPr>
          <w:rFonts w:hint="cs"/>
          <w:rtl/>
        </w:rPr>
        <w:t xml:space="preserve"> </w:t>
      </w:r>
    </w:p>
    <w:p w:rsidR="002D1BAF" w:rsidRDefault="002D1BAF" w:rsidP="002D1BAF">
      <w:pPr>
        <w:rPr>
          <w:rtl/>
        </w:rPr>
      </w:pPr>
      <w:r>
        <w:rPr>
          <w:rtl/>
        </w:rPr>
        <w:t>לפי נתוני הכלכלנית הראשית, ה</w:t>
      </w:r>
      <w:r>
        <w:rPr>
          <w:rFonts w:hint="cs"/>
          <w:rtl/>
        </w:rPr>
        <w:t xml:space="preserve">ורדה זו של שיעור המס </w:t>
      </w:r>
      <w:r>
        <w:rPr>
          <w:rtl/>
        </w:rPr>
        <w:t xml:space="preserve">הביאה לגידול חד במספר הדירות הנרכשות להשקעה, הן במונחים כמותיים והן כשיעור מסך העסקאות. שיעור רכישות המשקיעים מאז הפחתת מס הרכישה עלה לכ-20% מסך העסקאות בשוק הדיור לעומת שיעור  של כ-13% בחודשים שלפני העלאת מס הרכישה.  במקביל נרשמה האצה בקצב עליית מחירי הדירות עפ"י מדד </w:t>
      </w:r>
      <w:proofErr w:type="spellStart"/>
      <w:r>
        <w:rPr>
          <w:rtl/>
        </w:rPr>
        <w:t>הלמ"ס</w:t>
      </w:r>
      <w:proofErr w:type="spellEnd"/>
      <w:r>
        <w:rPr>
          <w:rtl/>
        </w:rPr>
        <w:t>. כך, בשנים עשר החודשים שחלפו מאז הורדת מס הרכישה ועד יולי האחרון עלו מחירי הדירות בשיעור של 9.2%. זהו שיעור הגידול הגבוה ביותר מאז שנת 2010.</w:t>
      </w:r>
    </w:p>
    <w:p w:rsidR="002D1BAF" w:rsidRDefault="002D1BAF" w:rsidP="00947782">
      <w:pPr>
        <w:rPr>
          <w:rtl/>
        </w:rPr>
      </w:pPr>
      <w:r>
        <w:rPr>
          <w:rtl/>
        </w:rPr>
        <w:t>מגמה דומה עולה מנתוני הכלכלנית הראשית אודות ההשפעה של העלאת</w:t>
      </w:r>
      <w:r w:rsidR="000B5A07">
        <w:rPr>
          <w:rtl/>
        </w:rPr>
        <w:t xml:space="preserve"> מס הרכישה על משקיעים</w:t>
      </w:r>
      <w:r w:rsidR="000B5A07">
        <w:rPr>
          <w:rFonts w:hint="cs"/>
          <w:rtl/>
        </w:rPr>
        <w:t xml:space="preserve"> במסגרת תיקון 81 לחוק מיסוי מקרקעין</w:t>
      </w:r>
      <w:r>
        <w:rPr>
          <w:rtl/>
        </w:rPr>
        <w:t>. עם העלאת מס הרכישה על המשקיעים נראתה ירידה בביקוש לרכישת דירות שהתבטאה בהתמתנות משמעותית בקצב עליית מחירי הדירות. בנוסף, החלה לראשונה מגמה של יציאת משקיעים משוק ה</w:t>
      </w:r>
      <w:r w:rsidR="00657025">
        <w:rPr>
          <w:rtl/>
        </w:rPr>
        <w:t>נדל"ן (דהיינו</w:t>
      </w:r>
      <w:r w:rsidR="00657025">
        <w:rPr>
          <w:rFonts w:hint="cs"/>
          <w:rtl/>
        </w:rPr>
        <w:t xml:space="preserve"> מספר ה</w:t>
      </w:r>
      <w:r>
        <w:rPr>
          <w:rtl/>
        </w:rPr>
        <w:t xml:space="preserve">דירות </w:t>
      </w:r>
      <w:r w:rsidR="00657025">
        <w:rPr>
          <w:rFonts w:hint="cs"/>
          <w:rtl/>
        </w:rPr>
        <w:t>שנמכרו על ידי משקיעים עלה על מספר הדירות שנרכשו על ידי</w:t>
      </w:r>
      <w:r w:rsidR="00657025">
        <w:rPr>
          <w:rtl/>
        </w:rPr>
        <w:t xml:space="preserve"> משקיעים</w:t>
      </w:r>
      <w:r>
        <w:rPr>
          <w:rtl/>
        </w:rPr>
        <w:t xml:space="preserve">). כך, מאז 2016 ועד הורדת מס הרכישה על המשקיעים ביולי אשתקד נגרעו מ"מלאי" הדירות בידי משקיעים כ-26 אלף דירות, שרובן ככולן נרכשו ע"י מי שעבורם זוהי דירתם </w:t>
      </w:r>
      <w:r w:rsidR="00947782">
        <w:rPr>
          <w:rFonts w:hint="cs"/>
          <w:rtl/>
        </w:rPr>
        <w:t>היחידה</w:t>
      </w:r>
      <w:r>
        <w:rPr>
          <w:rtl/>
        </w:rPr>
        <w:t>.  מאז יולי האחרון נעצרה מגמה זו, כתוצאה מרכישות מוגברות של משקיעים.</w:t>
      </w:r>
    </w:p>
    <w:p w:rsidR="005A39BA" w:rsidRDefault="005A39BA" w:rsidP="002D1BAF">
      <w:pPr>
        <w:rPr>
          <w:rtl/>
        </w:rPr>
      </w:pPr>
      <w:r>
        <w:rPr>
          <w:rFonts w:hint="cs"/>
          <w:rtl/>
        </w:rPr>
        <w:t>נוכח</w:t>
      </w:r>
      <w:r w:rsidR="002D1BAF">
        <w:rPr>
          <w:rtl/>
        </w:rPr>
        <w:t xml:space="preserve"> העלייה המשמעותית בביקוש לרכישת דירות </w:t>
      </w:r>
      <w:r>
        <w:rPr>
          <w:rFonts w:hint="cs"/>
          <w:rtl/>
        </w:rPr>
        <w:t xml:space="preserve">מגורים </w:t>
      </w:r>
      <w:r>
        <w:rPr>
          <w:rtl/>
        </w:rPr>
        <w:t>והעלייה במחירי</w:t>
      </w:r>
      <w:r>
        <w:rPr>
          <w:rFonts w:hint="cs"/>
          <w:rtl/>
        </w:rPr>
        <w:t>הן</w:t>
      </w:r>
      <w:r w:rsidR="002D1BAF">
        <w:rPr>
          <w:rtl/>
        </w:rPr>
        <w:t xml:space="preserve"> שהחלה מאז הופחת מס הרכישה ביולי 2020, </w:t>
      </w:r>
      <w:r>
        <w:rPr>
          <w:rFonts w:hint="cs"/>
          <w:rtl/>
        </w:rPr>
        <w:t>מוצע לתקן את</w:t>
      </w:r>
      <w:r w:rsidR="00C80C8A">
        <w:rPr>
          <w:rFonts w:hint="cs"/>
          <w:rtl/>
        </w:rPr>
        <w:t xml:space="preserve"> סעיף 9(ג1ג)</w:t>
      </w:r>
      <w:r>
        <w:rPr>
          <w:rFonts w:hint="cs"/>
          <w:rtl/>
        </w:rPr>
        <w:t xml:space="preserve"> </w:t>
      </w:r>
      <w:r w:rsidR="00C80C8A">
        <w:rPr>
          <w:rFonts w:hint="cs"/>
          <w:rtl/>
        </w:rPr>
        <w:t>ל</w:t>
      </w:r>
      <w:r>
        <w:rPr>
          <w:rFonts w:hint="cs"/>
          <w:rtl/>
        </w:rPr>
        <w:t xml:space="preserve">חוק מיסוי מקרקעין ולקבוע כי </w:t>
      </w:r>
      <w:r w:rsidR="00C80C8A">
        <w:rPr>
          <w:rtl/>
        </w:rPr>
        <w:t>במכירת זכות במקרקעין שה</w:t>
      </w:r>
      <w:r w:rsidR="00C80C8A">
        <w:rPr>
          <w:rFonts w:hint="cs"/>
          <w:rtl/>
        </w:rPr>
        <w:t>יא</w:t>
      </w:r>
      <w:r w:rsidR="00C80C8A" w:rsidRPr="00C80C8A">
        <w:rPr>
          <w:rtl/>
        </w:rPr>
        <w:t xml:space="preserve"> דירת מגורים לגבי מי שזו אינה דירת המגורים היחידה  שלו, יחול מס רכישה</w:t>
      </w:r>
      <w:r w:rsidR="00C80C8A">
        <w:rPr>
          <w:rtl/>
        </w:rPr>
        <w:t xml:space="preserve"> בשיעור של 8% על חלק השווי שעד </w:t>
      </w:r>
      <w:r w:rsidR="00C80C8A">
        <w:rPr>
          <w:rFonts w:hint="cs"/>
          <w:rtl/>
        </w:rPr>
        <w:t>5</w:t>
      </w:r>
      <w:r w:rsidR="00C80C8A">
        <w:rPr>
          <w:rtl/>
        </w:rPr>
        <w:t>,</w:t>
      </w:r>
      <w:r w:rsidR="00C80C8A">
        <w:rPr>
          <w:rFonts w:hint="cs"/>
          <w:rtl/>
        </w:rPr>
        <w:t>348</w:t>
      </w:r>
      <w:r w:rsidR="00C80C8A">
        <w:rPr>
          <w:rtl/>
        </w:rPr>
        <w:t>,</w:t>
      </w:r>
      <w:r w:rsidR="00C80C8A">
        <w:rPr>
          <w:rFonts w:hint="cs"/>
          <w:rtl/>
        </w:rPr>
        <w:t>565</w:t>
      </w:r>
      <w:r w:rsidR="00C80C8A" w:rsidRPr="00C80C8A">
        <w:rPr>
          <w:rtl/>
        </w:rPr>
        <w:t xml:space="preserve">  ₪ ומס רכישה בשיעור של 10% על חלק השווי העולה על סכום</w:t>
      </w:r>
      <w:r w:rsidR="00C80C8A">
        <w:rPr>
          <w:rtl/>
        </w:rPr>
        <w:t xml:space="preserve"> זה. </w:t>
      </w:r>
    </w:p>
    <w:p w:rsidR="005A39BA" w:rsidRDefault="005A39BA" w:rsidP="002D1BAF">
      <w:pPr>
        <w:rPr>
          <w:rtl/>
        </w:rPr>
      </w:pPr>
    </w:p>
    <w:p w:rsidR="00261B3D" w:rsidRDefault="005C03A3" w:rsidP="002D1BAF">
      <w:pPr>
        <w:rPr>
          <w:rtl/>
        </w:rPr>
      </w:pPr>
      <w:r>
        <w:rPr>
          <w:rtl/>
        </w:rPr>
        <w:t xml:space="preserve">העלאת המס </w:t>
      </w:r>
      <w:r>
        <w:rPr>
          <w:rFonts w:hint="cs"/>
          <w:rtl/>
        </w:rPr>
        <w:t>צפויה ל</w:t>
      </w:r>
      <w:r>
        <w:rPr>
          <w:rtl/>
        </w:rPr>
        <w:t>מתן את ביקוש המשקיעים ו</w:t>
      </w:r>
      <w:r>
        <w:rPr>
          <w:rFonts w:hint="cs"/>
          <w:rtl/>
        </w:rPr>
        <w:t>ל</w:t>
      </w:r>
      <w:r w:rsidR="00741AA4">
        <w:rPr>
          <w:rtl/>
        </w:rPr>
        <w:t xml:space="preserve">סייע בבלימת </w:t>
      </w:r>
      <w:r w:rsidR="00741AA4">
        <w:rPr>
          <w:rFonts w:hint="cs"/>
          <w:rtl/>
        </w:rPr>
        <w:t>עליית מחירי הדירות</w:t>
      </w:r>
      <w:r w:rsidR="00741AA4">
        <w:rPr>
          <w:rtl/>
        </w:rPr>
        <w:t xml:space="preserve"> </w:t>
      </w:r>
      <w:r>
        <w:rPr>
          <w:rFonts w:hint="cs"/>
          <w:rtl/>
        </w:rPr>
        <w:t>ב</w:t>
      </w:r>
      <w:r w:rsidR="002D1BAF">
        <w:rPr>
          <w:rtl/>
        </w:rPr>
        <w:t xml:space="preserve">תקופה זו. צעד זה נלווה לצעדים </w:t>
      </w:r>
      <w:r>
        <w:rPr>
          <w:rFonts w:hint="cs"/>
          <w:rtl/>
        </w:rPr>
        <w:t xml:space="preserve">נוספים </w:t>
      </w:r>
      <w:r w:rsidR="002D1BAF">
        <w:rPr>
          <w:rtl/>
        </w:rPr>
        <w:t>להגדלת היצע יחידות הדיור בשוק שיתנו מענה לביקוש הגובר ויביאו ליציבות מחירים בטווח הארוך.</w:t>
      </w:r>
    </w:p>
    <w:p w:rsidR="00C505FE" w:rsidRDefault="00C505FE" w:rsidP="002D1BAF">
      <w:pPr>
        <w:rPr>
          <w:rtl/>
        </w:rPr>
      </w:pPr>
    </w:p>
    <w:p w:rsidR="00C505FE" w:rsidRDefault="00C505FE" w:rsidP="00C505FE">
      <w:pPr>
        <w:rPr>
          <w:rtl/>
        </w:rPr>
      </w:pPr>
      <w:r>
        <w:rPr>
          <w:rFonts w:hint="cs"/>
          <w:rtl/>
        </w:rPr>
        <w:t xml:space="preserve">העלאת המס תחול </w:t>
      </w:r>
      <w:r>
        <w:rPr>
          <w:rtl/>
        </w:rPr>
        <w:t>על מכירת בניין או חלק ממנו</w:t>
      </w:r>
      <w:r>
        <w:rPr>
          <w:rFonts w:hint="cs"/>
          <w:rtl/>
        </w:rPr>
        <w:t xml:space="preserve"> שהוא דירת מגורים, שנעשתה מיום פרסום החוק ואילך.</w:t>
      </w:r>
    </w:p>
    <w:p w:rsidR="00C505FE" w:rsidRDefault="00C505FE" w:rsidP="00C505FE"/>
    <w:sectPr w:rsidR="00C505FE" w:rsidSect="00857D0C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36" w:rsidRDefault="002C2836" w:rsidP="00857D0C">
      <w:pPr>
        <w:spacing w:line="240" w:lineRule="auto"/>
      </w:pPr>
      <w:r>
        <w:separator/>
      </w:r>
    </w:p>
  </w:endnote>
  <w:endnote w:type="continuationSeparator" w:id="0">
    <w:p w:rsidR="002C2836" w:rsidRDefault="002C2836" w:rsidP="0085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36" w:rsidRDefault="002C2836" w:rsidP="00857D0C">
      <w:pPr>
        <w:spacing w:line="240" w:lineRule="auto"/>
      </w:pPr>
      <w:r>
        <w:separator/>
      </w:r>
    </w:p>
  </w:footnote>
  <w:footnote w:type="continuationSeparator" w:id="0">
    <w:p w:rsidR="002C2836" w:rsidRDefault="002C2836" w:rsidP="00857D0C">
      <w:pPr>
        <w:spacing w:line="240" w:lineRule="auto"/>
      </w:pPr>
      <w:r>
        <w:continuationSeparator/>
      </w:r>
    </w:p>
  </w:footnote>
  <w:footnote w:id="1">
    <w:p w:rsidR="00857D0C" w:rsidRDefault="00857D0C" w:rsidP="00857D0C">
      <w:pPr>
        <w:pStyle w:val="a5"/>
      </w:pPr>
      <w:r>
        <w:rPr>
          <w:rStyle w:val="a7"/>
        </w:rPr>
        <w:footnoteRef/>
      </w: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התשכ"ג</w:t>
      </w:r>
      <w:proofErr w:type="spellEnd"/>
      <w:r>
        <w:rPr>
          <w:rFonts w:hint="cs"/>
          <w:rtl/>
        </w:rPr>
        <w:t xml:space="preserve">, עמ' 156; </w:t>
      </w:r>
      <w:proofErr w:type="spellStart"/>
      <w:r>
        <w:rPr>
          <w:rFonts w:hint="cs"/>
          <w:rtl/>
        </w:rPr>
        <w:t>התשע"ד</w:t>
      </w:r>
      <w:proofErr w:type="spellEnd"/>
      <w:r>
        <w:rPr>
          <w:rFonts w:hint="cs"/>
          <w:rtl/>
        </w:rPr>
        <w:t>, עמ' 736.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173C1"/>
    <w:multiLevelType w:val="hybridMultilevel"/>
    <w:tmpl w:val="2C74BF56"/>
    <w:lvl w:ilvl="0" w:tplc="4BAA478C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F70D7"/>
    <w:multiLevelType w:val="hybridMultilevel"/>
    <w:tmpl w:val="76947A50"/>
    <w:lvl w:ilvl="0" w:tplc="E2C2AEB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617B9"/>
    <w:multiLevelType w:val="hybridMultilevel"/>
    <w:tmpl w:val="AA2CE1CC"/>
    <w:lvl w:ilvl="0" w:tplc="67BE6DA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F13B65"/>
    <w:multiLevelType w:val="hybridMultilevel"/>
    <w:tmpl w:val="9DA0712C"/>
    <w:lvl w:ilvl="0" w:tplc="D4F2CDC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93397"/>
    <w:multiLevelType w:val="hybridMultilevel"/>
    <w:tmpl w:val="CF1C0032"/>
    <w:lvl w:ilvl="0" w:tplc="CC80D61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4667E"/>
    <w:multiLevelType w:val="hybridMultilevel"/>
    <w:tmpl w:val="913A073E"/>
    <w:lvl w:ilvl="0" w:tplc="DAA2FE6A">
      <w:start w:val="1"/>
      <w:numFmt w:val="decimal"/>
      <w:lvlRestart w:val="0"/>
      <w:lvlText w:val="(%1)"/>
      <w:lvlJc w:val="left"/>
      <w:pPr>
        <w:tabs>
          <w:tab w:val="num" w:pos="684"/>
        </w:tabs>
        <w:ind w:left="60" w:firstLine="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3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2"/>
  </w:num>
  <w:num w:numId="19">
    <w:abstractNumId w:val="16"/>
  </w:num>
  <w:num w:numId="20">
    <w:abstractNumId w:val="14"/>
  </w:num>
  <w:num w:numId="21">
    <w:abstractNumId w:val="18"/>
  </w:num>
  <w:num w:numId="22">
    <w:abstractNumId w:val="21"/>
  </w:num>
  <w:num w:numId="23">
    <w:abstractNumId w:val="17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0C"/>
    <w:rsid w:val="000B5A07"/>
    <w:rsid w:val="001162CF"/>
    <w:rsid w:val="00116EDB"/>
    <w:rsid w:val="00261B3D"/>
    <w:rsid w:val="002C2836"/>
    <w:rsid w:val="002D1BAF"/>
    <w:rsid w:val="00472701"/>
    <w:rsid w:val="00535C73"/>
    <w:rsid w:val="005A39BA"/>
    <w:rsid w:val="005C03A3"/>
    <w:rsid w:val="005E61D6"/>
    <w:rsid w:val="00641FAD"/>
    <w:rsid w:val="00657025"/>
    <w:rsid w:val="00741AA4"/>
    <w:rsid w:val="00793B6C"/>
    <w:rsid w:val="00842B28"/>
    <w:rsid w:val="00857D0C"/>
    <w:rsid w:val="00897DD2"/>
    <w:rsid w:val="008B7DAC"/>
    <w:rsid w:val="00947782"/>
    <w:rsid w:val="00A40319"/>
    <w:rsid w:val="00A661A4"/>
    <w:rsid w:val="00B51146"/>
    <w:rsid w:val="00B547A8"/>
    <w:rsid w:val="00BB434A"/>
    <w:rsid w:val="00C1298A"/>
    <w:rsid w:val="00C505FE"/>
    <w:rsid w:val="00C80C8A"/>
    <w:rsid w:val="00C93026"/>
    <w:rsid w:val="00CB49E4"/>
    <w:rsid w:val="00CC6B9C"/>
    <w:rsid w:val="00DB0465"/>
    <w:rsid w:val="00DE007A"/>
    <w:rsid w:val="00E27CFB"/>
    <w:rsid w:val="00F7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B34E"/>
  <w15:chartTrackingRefBased/>
  <w15:docId w15:val="{B17E57F3-03AC-4CC6-8D27-6EE31C14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6C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3B6C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793B6C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793B6C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793B6C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3B6C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  <w:rsid w:val="00793B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93B6C"/>
  </w:style>
  <w:style w:type="character" w:customStyle="1" w:styleId="10">
    <w:name w:val="כותרת 1 תו"/>
    <w:basedOn w:val="a0"/>
    <w:link w:val="1"/>
    <w:uiPriority w:val="9"/>
    <w:rsid w:val="00793B6C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793B6C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793B6C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793B6C"/>
    <w:pPr>
      <w:outlineLvl w:val="2"/>
    </w:pPr>
  </w:style>
  <w:style w:type="paragraph" w:customStyle="1" w:styleId="TableBlock">
    <w:name w:val="Table Block"/>
    <w:basedOn w:val="TableText"/>
    <w:rsid w:val="00793B6C"/>
    <w:pPr>
      <w:jc w:val="both"/>
    </w:pPr>
  </w:style>
  <w:style w:type="paragraph" w:customStyle="1" w:styleId="TableHead">
    <w:name w:val="Table Head"/>
    <w:basedOn w:val="TableText"/>
    <w:rsid w:val="00793B6C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793B6C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793B6C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793B6C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793B6C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793B6C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793B6C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793B6C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793B6C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793B6C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857D0C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793B6C"/>
    <w:pPr>
      <w:outlineLvl w:val="9"/>
    </w:pPr>
  </w:style>
  <w:style w:type="paragraph" w:customStyle="1" w:styleId="Hesber">
    <w:name w:val="Hesber"/>
    <w:basedOn w:val="a"/>
    <w:rsid w:val="00793B6C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793B6C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857D0C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793B6C"/>
    <w:rPr>
      <w:vertAlign w:val="superscript"/>
    </w:rPr>
  </w:style>
  <w:style w:type="paragraph" w:customStyle="1" w:styleId="HesberHeading">
    <w:name w:val="Hesber Heading"/>
    <w:basedOn w:val="Hesber"/>
    <w:rsid w:val="00793B6C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793B6C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793B6C"/>
    <w:rPr>
      <w:vertAlign w:val="superscript"/>
    </w:rPr>
  </w:style>
  <w:style w:type="paragraph" w:customStyle="1" w:styleId="TableBlockOutdent">
    <w:name w:val="Table BlockOutdent"/>
    <w:basedOn w:val="TableBlock"/>
    <w:rsid w:val="00793B6C"/>
    <w:pPr>
      <w:ind w:left="624" w:hanging="624"/>
    </w:pPr>
  </w:style>
  <w:style w:type="paragraph" w:styleId="a9">
    <w:name w:val="header"/>
    <w:basedOn w:val="a"/>
    <w:link w:val="aa"/>
    <w:rsid w:val="00793B6C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57D0C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793B6C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857D0C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793B6C"/>
  </w:style>
  <w:style w:type="paragraph" w:customStyle="1" w:styleId="Cover1-Reshumot">
    <w:name w:val="Cover 1-Reshumot"/>
    <w:basedOn w:val="a"/>
    <w:rsid w:val="00793B6C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793B6C"/>
    <w:rPr>
      <w:sz w:val="36"/>
      <w:szCs w:val="52"/>
    </w:rPr>
  </w:style>
  <w:style w:type="paragraph" w:customStyle="1" w:styleId="Cover3-Haknesset">
    <w:name w:val="Cover 3-Haknesset"/>
    <w:basedOn w:val="Cover1-Reshumot"/>
    <w:rsid w:val="00793B6C"/>
    <w:rPr>
      <w:b/>
      <w:bCs/>
      <w:spacing w:val="60"/>
    </w:rPr>
  </w:style>
  <w:style w:type="paragraph" w:customStyle="1" w:styleId="Cover4-Date">
    <w:name w:val="Cover 4-Date"/>
    <w:basedOn w:val="a"/>
    <w:rsid w:val="00793B6C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793B6C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793B6C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93B6C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793B6C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793B6C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793B6C"/>
    <w:pPr>
      <w:numPr>
        <w:numId w:val="19"/>
      </w:numPr>
      <w:tabs>
        <w:tab w:val="num" w:pos="360"/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793B6C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793B6C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793B6C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793B6C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793B6C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793B6C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793B6C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793B6C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793B6C"/>
    <w:rPr>
      <w:rFonts w:eastAsia="Times New Roman"/>
    </w:rPr>
  </w:style>
  <w:style w:type="paragraph" w:styleId="af">
    <w:name w:val="List Paragraph"/>
    <w:basedOn w:val="a"/>
    <w:uiPriority w:val="34"/>
    <w:qFormat/>
    <w:rsid w:val="00793B6C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793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793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793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793B6C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793B6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472701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47270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mehes</dc:creator>
  <cp:keywords/>
  <dc:description/>
  <cp:lastModifiedBy>לילי אור</cp:lastModifiedBy>
  <cp:revision>10</cp:revision>
  <dcterms:created xsi:type="dcterms:W3CDTF">2021-10-31T10:23:00Z</dcterms:created>
  <dcterms:modified xsi:type="dcterms:W3CDTF">2021-10-31T13:04:00Z</dcterms:modified>
</cp:coreProperties>
</file>