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EA8CB" w14:textId="77777777" w:rsidR="004B118F" w:rsidRPr="00307ED2" w:rsidRDefault="004B118F" w:rsidP="002C161E">
      <w:pPr>
        <w:pStyle w:val="HeadHatzaotHok"/>
        <w:keepNext w:val="0"/>
        <w:keepLines w:val="0"/>
        <w:rPr>
          <w:rtl/>
        </w:rPr>
      </w:pPr>
      <w:bookmarkStart w:id="0" w:name="_GoBack"/>
      <w:bookmarkEnd w:id="0"/>
      <w:r w:rsidRPr="00307ED2">
        <w:rPr>
          <w:rFonts w:hint="cs"/>
          <w:rtl/>
        </w:rPr>
        <w:t>תזכיר</w:t>
      </w:r>
      <w:r w:rsidRPr="00307ED2">
        <w:rPr>
          <w:rtl/>
        </w:rPr>
        <w:t xml:space="preserve"> חוק </w:t>
      </w:r>
      <w:r w:rsidRPr="00307ED2">
        <w:rPr>
          <w:rFonts w:hint="cs"/>
          <w:rtl/>
        </w:rPr>
        <w:t>לתיקו</w:t>
      </w:r>
      <w:r w:rsidR="00CF0D0C" w:rsidRPr="00307ED2">
        <w:rPr>
          <w:rFonts w:hint="cs"/>
          <w:rtl/>
        </w:rPr>
        <w:t>ן פקודת מס הכנסה (תיקון מס____), התשע"</w:t>
      </w:r>
      <w:r w:rsidR="007E4F23">
        <w:rPr>
          <w:rFonts w:hint="cs"/>
          <w:rtl/>
        </w:rPr>
        <w:t>ז</w:t>
      </w:r>
      <w:r w:rsidR="00CF0D0C" w:rsidRPr="00307ED2">
        <w:rPr>
          <w:rFonts w:hint="cs"/>
          <w:rtl/>
        </w:rPr>
        <w:t>-</w:t>
      </w:r>
      <w:r w:rsidR="002C161E" w:rsidRPr="00307ED2">
        <w:rPr>
          <w:rFonts w:hint="cs"/>
          <w:rtl/>
        </w:rPr>
        <w:t>201</w:t>
      </w:r>
      <w:r w:rsidR="007E4F23">
        <w:rPr>
          <w:rFonts w:hint="cs"/>
          <w:rtl/>
        </w:rPr>
        <w:t>7</w:t>
      </w:r>
    </w:p>
    <w:p w14:paraId="75DE6A81" w14:textId="77777777" w:rsidR="004B118F" w:rsidRPr="00307ED2" w:rsidRDefault="004B118F" w:rsidP="004B118F">
      <w:pPr>
        <w:tabs>
          <w:tab w:val="left" w:pos="624"/>
          <w:tab w:val="left" w:pos="1021"/>
          <w:tab w:val="left" w:pos="1474"/>
          <w:tab w:val="left" w:pos="1928"/>
          <w:tab w:val="left" w:pos="2381"/>
          <w:tab w:val="left" w:pos="2835"/>
        </w:tabs>
        <w:suppressAutoHyphens/>
        <w:adjustRightInd/>
        <w:spacing w:before="0" w:line="360" w:lineRule="auto"/>
        <w:ind w:left="141" w:right="1134" w:firstLine="0"/>
        <w:jc w:val="center"/>
        <w:textAlignment w:val="auto"/>
        <w:outlineLvl w:val="0"/>
        <w:rPr>
          <w:rFonts w:ascii="Times New Roman" w:eastAsia="Times New Roman" w:hAnsi="Times New Roman" w:cs="David"/>
          <w:bCs/>
          <w:noProof/>
          <w:color w:val="auto"/>
          <w:spacing w:val="0"/>
          <w:sz w:val="28"/>
          <w:szCs w:val="28"/>
          <w:u w:val="single"/>
          <w:rtl/>
          <w:lang w:eastAsia="he-IL"/>
        </w:rPr>
      </w:pPr>
    </w:p>
    <w:p w14:paraId="70A8D33E" w14:textId="77777777" w:rsidR="004B118F" w:rsidRPr="00307ED2" w:rsidRDefault="004B118F" w:rsidP="004B118F">
      <w:pPr>
        <w:pStyle w:val="a9"/>
        <w:numPr>
          <w:ilvl w:val="0"/>
          <w:numId w:val="15"/>
        </w:numPr>
        <w:tabs>
          <w:tab w:val="left" w:pos="624"/>
          <w:tab w:val="left" w:pos="1021"/>
          <w:tab w:val="left" w:pos="1474"/>
          <w:tab w:val="left" w:pos="1928"/>
          <w:tab w:val="left" w:pos="2381"/>
          <w:tab w:val="left" w:pos="2835"/>
        </w:tabs>
        <w:suppressAutoHyphens/>
        <w:spacing w:line="360" w:lineRule="auto"/>
        <w:outlineLvl w:val="0"/>
        <w:rPr>
          <w:rFonts w:ascii="Times New Roman" w:hAnsi="Times New Roman" w:cs="David"/>
          <w:bCs/>
          <w:noProof/>
          <w:sz w:val="26"/>
          <w:szCs w:val="26"/>
          <w:u w:val="single"/>
          <w:rtl/>
        </w:rPr>
      </w:pPr>
      <w:r w:rsidRPr="00307ED2">
        <w:rPr>
          <w:rFonts w:ascii="Times New Roman" w:hAnsi="Times New Roman" w:cs="David" w:hint="cs"/>
          <w:bCs/>
          <w:noProof/>
          <w:sz w:val="26"/>
          <w:szCs w:val="26"/>
          <w:u w:val="single"/>
          <w:rtl/>
        </w:rPr>
        <w:t xml:space="preserve">שם החוק המוצע </w:t>
      </w:r>
    </w:p>
    <w:p w14:paraId="17BCDF72" w14:textId="3EB1D77C" w:rsidR="009C63EF" w:rsidRPr="00307ED2" w:rsidRDefault="007C7F1B" w:rsidP="002A3A5B">
      <w:pPr>
        <w:pStyle w:val="HeadHatzaotHok"/>
        <w:keepNext w:val="0"/>
        <w:keepLines w:val="0"/>
        <w:jc w:val="both"/>
        <w:rPr>
          <w:b w:val="0"/>
          <w:bCs w:val="0"/>
          <w:rtl/>
        </w:rPr>
      </w:pPr>
      <w:r w:rsidRPr="00307ED2">
        <w:rPr>
          <w:rFonts w:hint="cs"/>
          <w:b w:val="0"/>
          <w:bCs w:val="0"/>
          <w:rtl/>
        </w:rPr>
        <w:t xml:space="preserve"> </w:t>
      </w:r>
      <w:r w:rsidR="00E83623" w:rsidRPr="00307ED2">
        <w:rPr>
          <w:rFonts w:hint="cs"/>
          <w:b w:val="0"/>
          <w:bCs w:val="0"/>
          <w:rtl/>
        </w:rPr>
        <w:t xml:space="preserve"> </w:t>
      </w:r>
      <w:r w:rsidR="002531EB">
        <w:rPr>
          <w:rFonts w:hint="cs"/>
          <w:b w:val="0"/>
          <w:bCs w:val="0"/>
          <w:rtl/>
        </w:rPr>
        <w:t xml:space="preserve">תזכיר </w:t>
      </w:r>
      <w:r w:rsidR="00A438A0">
        <w:rPr>
          <w:rFonts w:hint="cs"/>
          <w:b w:val="0"/>
          <w:bCs w:val="0"/>
          <w:rtl/>
        </w:rPr>
        <w:t xml:space="preserve">חוק לתיקון </w:t>
      </w:r>
      <w:r w:rsidR="00E83623" w:rsidRPr="00307ED2">
        <w:rPr>
          <w:rFonts w:hint="cs"/>
          <w:b w:val="0"/>
          <w:bCs w:val="0"/>
          <w:rtl/>
        </w:rPr>
        <w:t>פקודת מס הכנסה (</w:t>
      </w:r>
      <w:r w:rsidR="00F13BFA">
        <w:rPr>
          <w:rFonts w:hint="cs"/>
          <w:b w:val="0"/>
          <w:bCs w:val="0"/>
          <w:rtl/>
        </w:rPr>
        <w:t xml:space="preserve">תיקון </w:t>
      </w:r>
      <w:r w:rsidR="00E83623" w:rsidRPr="00307ED2">
        <w:rPr>
          <w:rFonts w:hint="cs"/>
          <w:b w:val="0"/>
          <w:bCs w:val="0"/>
          <w:rtl/>
        </w:rPr>
        <w:t>מס</w:t>
      </w:r>
      <w:r w:rsidR="002A3A5B">
        <w:rPr>
          <w:rFonts w:hint="cs"/>
          <w:b w:val="0"/>
          <w:bCs w:val="0"/>
          <w:rtl/>
        </w:rPr>
        <w:t>'</w:t>
      </w:r>
      <w:r w:rsidR="00E83623" w:rsidRPr="00307ED2">
        <w:rPr>
          <w:rFonts w:hint="cs"/>
          <w:b w:val="0"/>
          <w:bCs w:val="0"/>
          <w:rtl/>
        </w:rPr>
        <w:t>____)</w:t>
      </w:r>
      <w:r w:rsidR="00CF0D0C" w:rsidRPr="00307ED2">
        <w:rPr>
          <w:rFonts w:hint="cs"/>
          <w:b w:val="0"/>
          <w:bCs w:val="0"/>
          <w:sz w:val="24"/>
          <w:szCs w:val="24"/>
          <w:rtl/>
        </w:rPr>
        <w:t xml:space="preserve">, </w:t>
      </w:r>
      <w:r w:rsidR="00D41C8E" w:rsidRPr="00307ED2">
        <w:rPr>
          <w:rFonts w:hint="eastAsia"/>
          <w:b w:val="0"/>
          <w:bCs w:val="0"/>
          <w:rtl/>
        </w:rPr>
        <w:t>התשע</w:t>
      </w:r>
      <w:r w:rsidR="00D41C8E" w:rsidRPr="00307ED2">
        <w:rPr>
          <w:b w:val="0"/>
          <w:bCs w:val="0"/>
          <w:rtl/>
        </w:rPr>
        <w:t>"</w:t>
      </w:r>
      <w:r w:rsidR="007E4F23">
        <w:rPr>
          <w:rFonts w:hint="cs"/>
          <w:b w:val="0"/>
          <w:bCs w:val="0"/>
          <w:rtl/>
        </w:rPr>
        <w:t>ז</w:t>
      </w:r>
      <w:r w:rsidR="00D41C8E" w:rsidRPr="00307ED2">
        <w:rPr>
          <w:b w:val="0"/>
          <w:bCs w:val="0"/>
          <w:rtl/>
        </w:rPr>
        <w:t>-201</w:t>
      </w:r>
      <w:r w:rsidR="007E4F23">
        <w:rPr>
          <w:rFonts w:hint="cs"/>
          <w:b w:val="0"/>
          <w:bCs w:val="0"/>
          <w:rtl/>
        </w:rPr>
        <w:t>7</w:t>
      </w:r>
      <w:r w:rsidR="00D41C8E" w:rsidRPr="00307ED2">
        <w:rPr>
          <w:b w:val="0"/>
          <w:bCs w:val="0"/>
          <w:rtl/>
        </w:rPr>
        <w:t>.</w:t>
      </w:r>
    </w:p>
    <w:p w14:paraId="58509C76" w14:textId="77777777" w:rsidR="00591BEF" w:rsidRPr="00307ED2" w:rsidRDefault="00591BEF" w:rsidP="00591BEF">
      <w:pPr>
        <w:pStyle w:val="HeadDivreiHesber"/>
        <w:numPr>
          <w:ilvl w:val="0"/>
          <w:numId w:val="15"/>
        </w:numPr>
        <w:jc w:val="both"/>
        <w:rPr>
          <w:rFonts w:ascii="Times New Roman" w:eastAsia="Times New Roman" w:hAnsi="Times New Roman"/>
          <w:b w:val="0"/>
          <w:bCs/>
          <w:noProof/>
          <w:snapToGrid/>
          <w:color w:val="auto"/>
          <w:spacing w:val="0"/>
          <w:sz w:val="26"/>
          <w:u w:val="single"/>
          <w:lang w:eastAsia="he-IL"/>
        </w:rPr>
      </w:pPr>
      <w:r w:rsidRPr="00307ED2">
        <w:rPr>
          <w:rFonts w:ascii="Times New Roman" w:eastAsia="Times New Roman" w:hAnsi="Times New Roman" w:hint="cs"/>
          <w:b w:val="0"/>
          <w:bCs/>
          <w:noProof/>
          <w:snapToGrid/>
          <w:color w:val="auto"/>
          <w:spacing w:val="0"/>
          <w:sz w:val="26"/>
          <w:u w:val="single"/>
          <w:rtl/>
          <w:lang w:eastAsia="he-IL"/>
        </w:rPr>
        <w:t>עיקרי החוק המוצע והצורך בו</w:t>
      </w:r>
    </w:p>
    <w:p w14:paraId="278F3CA7" w14:textId="77777777" w:rsidR="00686F88" w:rsidRPr="00307ED2" w:rsidRDefault="009B5208">
      <w:pPr>
        <w:pStyle w:val="HeadDivreiHesber"/>
        <w:ind w:left="141"/>
        <w:jc w:val="both"/>
        <w:rPr>
          <w:rFonts w:ascii="Times New Roman" w:eastAsia="Times New Roman" w:hAnsi="Times New Roman"/>
          <w:b w:val="0"/>
          <w:bCs/>
          <w:noProof/>
          <w:snapToGrid/>
          <w:color w:val="auto"/>
          <w:spacing w:val="0"/>
          <w:sz w:val="26"/>
          <w:u w:val="single"/>
          <w:rtl/>
          <w:lang w:eastAsia="he-IL"/>
        </w:rPr>
      </w:pPr>
      <w:r w:rsidRPr="00307ED2">
        <w:rPr>
          <w:rFonts w:ascii="Times New Roman" w:eastAsia="Times New Roman" w:hAnsi="Times New Roman" w:hint="cs"/>
          <w:b w:val="0"/>
          <w:bCs/>
          <w:noProof/>
          <w:snapToGrid/>
          <w:color w:val="auto"/>
          <w:spacing w:val="0"/>
          <w:sz w:val="26"/>
          <w:u w:val="single"/>
          <w:rtl/>
          <w:lang w:eastAsia="he-IL"/>
        </w:rPr>
        <w:t>כללי</w:t>
      </w:r>
    </w:p>
    <w:p w14:paraId="3D1687B8" w14:textId="3DF24A53" w:rsidR="00467A86" w:rsidRDefault="00467A86" w:rsidP="002531EB">
      <w:pPr>
        <w:tabs>
          <w:tab w:val="center" w:pos="3918"/>
          <w:tab w:val="center" w:pos="5619"/>
        </w:tabs>
        <w:spacing w:line="360" w:lineRule="auto"/>
        <w:ind w:firstLine="0"/>
        <w:rPr>
          <w:rFonts w:ascii="Arial" w:eastAsia="Arial Unicode MS" w:hAnsi="Arial" w:cs="David"/>
          <w:snapToGrid w:val="0"/>
          <w:spacing w:val="0"/>
          <w:sz w:val="20"/>
          <w:szCs w:val="26"/>
          <w:rtl/>
        </w:rPr>
      </w:pPr>
      <w:r w:rsidRPr="00467A86">
        <w:rPr>
          <w:rFonts w:ascii="Arial" w:eastAsia="Arial Unicode MS" w:hAnsi="Arial" w:cs="David" w:hint="cs"/>
          <w:snapToGrid w:val="0"/>
          <w:spacing w:val="0"/>
          <w:sz w:val="20"/>
          <w:szCs w:val="26"/>
          <w:rtl/>
        </w:rPr>
        <w:t>מטרת</w:t>
      </w:r>
      <w:r w:rsidR="009A24C3">
        <w:rPr>
          <w:rFonts w:ascii="Arial" w:eastAsia="Arial Unicode MS" w:hAnsi="Arial" w:cs="David" w:hint="cs"/>
          <w:snapToGrid w:val="0"/>
          <w:spacing w:val="0"/>
          <w:sz w:val="20"/>
          <w:szCs w:val="26"/>
          <w:rtl/>
        </w:rPr>
        <w:t>ם</w:t>
      </w:r>
      <w:r w:rsidRPr="00467A86">
        <w:rPr>
          <w:rFonts w:ascii="Arial" w:eastAsia="Arial Unicode MS" w:hAnsi="Arial" w:cs="David" w:hint="cs"/>
          <w:snapToGrid w:val="0"/>
          <w:spacing w:val="0"/>
          <w:sz w:val="20"/>
          <w:szCs w:val="26"/>
          <w:rtl/>
        </w:rPr>
        <w:t xml:space="preserve"> העיקרית של </w:t>
      </w:r>
      <w:r w:rsidR="009A24C3">
        <w:rPr>
          <w:rFonts w:ascii="Arial" w:eastAsia="Arial Unicode MS" w:hAnsi="Arial" w:cs="David" w:hint="cs"/>
          <w:snapToGrid w:val="0"/>
          <w:spacing w:val="0"/>
          <w:sz w:val="20"/>
          <w:szCs w:val="26"/>
          <w:rtl/>
        </w:rPr>
        <w:t>ה</w:t>
      </w:r>
      <w:r w:rsidRPr="00467A86">
        <w:rPr>
          <w:rFonts w:ascii="Arial" w:eastAsia="Arial Unicode MS" w:hAnsi="Arial" w:cs="David" w:hint="cs"/>
          <w:snapToGrid w:val="0"/>
          <w:spacing w:val="0"/>
          <w:sz w:val="20"/>
          <w:szCs w:val="26"/>
          <w:rtl/>
        </w:rPr>
        <w:t>תיקו</w:t>
      </w:r>
      <w:r w:rsidR="009A24C3">
        <w:rPr>
          <w:rFonts w:ascii="Arial" w:eastAsia="Arial Unicode MS" w:hAnsi="Arial" w:cs="David" w:hint="cs"/>
          <w:snapToGrid w:val="0"/>
          <w:spacing w:val="0"/>
          <w:sz w:val="20"/>
          <w:szCs w:val="26"/>
          <w:rtl/>
        </w:rPr>
        <w:t xml:space="preserve">נים המוצעים בתזכיר חוק </w:t>
      </w:r>
      <w:r w:rsidRPr="00467A86">
        <w:rPr>
          <w:rFonts w:ascii="Arial" w:eastAsia="Arial Unicode MS" w:hAnsi="Arial" w:cs="David" w:hint="cs"/>
          <w:snapToGrid w:val="0"/>
          <w:spacing w:val="0"/>
          <w:sz w:val="20"/>
          <w:szCs w:val="26"/>
          <w:rtl/>
        </w:rPr>
        <w:t xml:space="preserve">זה </w:t>
      </w:r>
      <w:r w:rsidR="009A24C3">
        <w:rPr>
          <w:rFonts w:ascii="Arial" w:eastAsia="Arial Unicode MS" w:hAnsi="Arial" w:cs="David" w:hint="cs"/>
          <w:snapToGrid w:val="0"/>
          <w:spacing w:val="0"/>
          <w:sz w:val="20"/>
          <w:szCs w:val="26"/>
          <w:rtl/>
        </w:rPr>
        <w:t xml:space="preserve">היא </w:t>
      </w:r>
      <w:r w:rsidRPr="00467A86">
        <w:rPr>
          <w:rFonts w:ascii="Arial" w:eastAsia="Arial Unicode MS" w:hAnsi="Arial" w:cs="David" w:hint="cs"/>
          <w:snapToGrid w:val="0"/>
          <w:spacing w:val="0"/>
          <w:sz w:val="20"/>
          <w:szCs w:val="26"/>
          <w:rtl/>
        </w:rPr>
        <w:t>להסדיר את הגשת הדוחות התקופתיים במערך הניכויים באופן מקוון, זאת בדומה לדוחות השנתיים</w:t>
      </w:r>
      <w:r w:rsidR="009A24C3">
        <w:rPr>
          <w:rFonts w:ascii="Arial" w:eastAsia="Arial Unicode MS" w:hAnsi="Arial" w:cs="David" w:hint="cs"/>
          <w:snapToGrid w:val="0"/>
          <w:spacing w:val="0"/>
          <w:sz w:val="20"/>
          <w:szCs w:val="26"/>
          <w:rtl/>
        </w:rPr>
        <w:t>,</w:t>
      </w:r>
      <w:r w:rsidRPr="00467A86">
        <w:rPr>
          <w:rFonts w:ascii="Arial" w:eastAsia="Arial Unicode MS" w:hAnsi="Arial" w:cs="David" w:hint="cs"/>
          <w:snapToGrid w:val="0"/>
          <w:spacing w:val="0"/>
          <w:sz w:val="20"/>
          <w:szCs w:val="26"/>
          <w:rtl/>
        </w:rPr>
        <w:t xml:space="preserve"> הן במערך הניכויים והן במערך השומה</w:t>
      </w:r>
      <w:r w:rsidR="009A24C3">
        <w:rPr>
          <w:rFonts w:ascii="Arial" w:eastAsia="Arial Unicode MS" w:hAnsi="Arial" w:cs="David" w:hint="cs"/>
          <w:snapToGrid w:val="0"/>
          <w:spacing w:val="0"/>
          <w:sz w:val="20"/>
          <w:szCs w:val="26"/>
          <w:rtl/>
        </w:rPr>
        <w:t>,</w:t>
      </w:r>
      <w:r w:rsidRPr="00467A86">
        <w:rPr>
          <w:rFonts w:ascii="Arial" w:eastAsia="Arial Unicode MS" w:hAnsi="Arial" w:cs="David" w:hint="cs"/>
          <w:snapToGrid w:val="0"/>
          <w:spacing w:val="0"/>
          <w:sz w:val="20"/>
          <w:szCs w:val="26"/>
          <w:rtl/>
        </w:rPr>
        <w:t xml:space="preserve"> </w:t>
      </w:r>
      <w:r w:rsidR="009A24C3">
        <w:rPr>
          <w:rFonts w:ascii="Arial" w:eastAsia="Arial Unicode MS" w:hAnsi="Arial" w:cs="David" w:hint="cs"/>
          <w:snapToGrid w:val="0"/>
          <w:spacing w:val="0"/>
          <w:sz w:val="20"/>
          <w:szCs w:val="26"/>
          <w:rtl/>
        </w:rPr>
        <w:t>ש</w:t>
      </w:r>
      <w:r w:rsidRPr="00467A86">
        <w:rPr>
          <w:rFonts w:ascii="Arial" w:eastAsia="Arial Unicode MS" w:hAnsi="Arial" w:cs="David" w:hint="cs"/>
          <w:snapToGrid w:val="0"/>
          <w:spacing w:val="0"/>
          <w:sz w:val="20"/>
          <w:szCs w:val="26"/>
          <w:rtl/>
        </w:rPr>
        <w:t xml:space="preserve">לגביהם </w:t>
      </w:r>
      <w:r w:rsidR="009A24C3">
        <w:rPr>
          <w:rFonts w:ascii="Arial" w:eastAsia="Arial Unicode MS" w:hAnsi="Arial" w:cs="David" w:hint="cs"/>
          <w:snapToGrid w:val="0"/>
          <w:spacing w:val="0"/>
          <w:sz w:val="20"/>
          <w:szCs w:val="26"/>
          <w:rtl/>
        </w:rPr>
        <w:t xml:space="preserve">כבר </w:t>
      </w:r>
      <w:r w:rsidRPr="00467A86">
        <w:rPr>
          <w:rFonts w:ascii="Arial" w:eastAsia="Arial Unicode MS" w:hAnsi="Arial" w:cs="David" w:hint="cs"/>
          <w:snapToGrid w:val="0"/>
          <w:spacing w:val="0"/>
          <w:sz w:val="20"/>
          <w:szCs w:val="26"/>
          <w:rtl/>
        </w:rPr>
        <w:t>קיימת חובת הגשה מקוונת מכוח פקודת מס הכנסה</w:t>
      </w:r>
      <w:r w:rsidR="00F13BFA">
        <w:rPr>
          <w:rFonts w:ascii="Arial" w:eastAsia="Arial Unicode MS" w:hAnsi="Arial" w:cs="David" w:hint="cs"/>
          <w:snapToGrid w:val="0"/>
          <w:spacing w:val="0"/>
          <w:sz w:val="20"/>
          <w:szCs w:val="26"/>
          <w:rtl/>
        </w:rPr>
        <w:t xml:space="preserve"> (נוסח חדש), התשכ"א -1961</w:t>
      </w:r>
      <w:r w:rsidRPr="00467A86">
        <w:rPr>
          <w:rFonts w:ascii="Arial" w:eastAsia="Arial Unicode MS" w:hAnsi="Arial" w:cs="David" w:hint="cs"/>
          <w:snapToGrid w:val="0"/>
          <w:spacing w:val="0"/>
          <w:sz w:val="20"/>
          <w:szCs w:val="26"/>
          <w:rtl/>
        </w:rPr>
        <w:t xml:space="preserve"> (להלן </w:t>
      </w:r>
      <w:r w:rsidRPr="00467A86">
        <w:rPr>
          <w:rFonts w:ascii="Arial" w:eastAsia="Arial Unicode MS" w:hAnsi="Arial" w:cs="David"/>
          <w:snapToGrid w:val="0"/>
          <w:spacing w:val="0"/>
          <w:sz w:val="20"/>
          <w:szCs w:val="26"/>
          <w:rtl/>
        </w:rPr>
        <w:t>–</w:t>
      </w:r>
      <w:r w:rsidRPr="00467A86">
        <w:rPr>
          <w:rFonts w:ascii="Arial" w:eastAsia="Arial Unicode MS" w:hAnsi="Arial" w:cs="David" w:hint="cs"/>
          <w:snapToGrid w:val="0"/>
          <w:spacing w:val="0"/>
          <w:sz w:val="20"/>
          <w:szCs w:val="26"/>
          <w:rtl/>
        </w:rPr>
        <w:t xml:space="preserve"> הפקודה). הגשת הדוחות באופן מקוון מייעלת את מערך הגבייה, מאפשרת קליטה של הנתונים כמעט בזמן אמת, מקצרת את הליך הדיווח, גורמת לחיסכון של עלויות וזמן וכן תורמת לאיכות הסביבה.</w:t>
      </w:r>
      <w:r>
        <w:rPr>
          <w:rFonts w:ascii="Arial" w:eastAsia="Arial Unicode MS" w:hAnsi="Arial" w:cs="David"/>
          <w:snapToGrid w:val="0"/>
          <w:spacing w:val="0"/>
          <w:sz w:val="20"/>
          <w:szCs w:val="26"/>
        </w:rPr>
        <w:t xml:space="preserve"> </w:t>
      </w:r>
      <w:r>
        <w:rPr>
          <w:rFonts w:ascii="Arial" w:eastAsia="Arial Unicode MS" w:hAnsi="Arial" w:cs="David" w:hint="cs"/>
          <w:snapToGrid w:val="0"/>
          <w:spacing w:val="0"/>
          <w:sz w:val="20"/>
          <w:szCs w:val="26"/>
          <w:rtl/>
        </w:rPr>
        <w:t xml:space="preserve"> </w:t>
      </w:r>
    </w:p>
    <w:p w14:paraId="24616866" w14:textId="7833D920" w:rsidR="00467A86" w:rsidRDefault="00467A86" w:rsidP="00844132">
      <w:pPr>
        <w:tabs>
          <w:tab w:val="center" w:pos="3918"/>
          <w:tab w:val="center" w:pos="5619"/>
        </w:tabs>
        <w:spacing w:line="36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כמו כן, בהתאם להוראות סעיף 134 לפקוד</w:t>
      </w:r>
      <w:r w:rsidR="00844132">
        <w:rPr>
          <w:rFonts w:ascii="Arial" w:eastAsia="Arial Unicode MS" w:hAnsi="Arial" w:cs="David" w:hint="cs"/>
          <w:snapToGrid w:val="0"/>
          <w:spacing w:val="0"/>
          <w:sz w:val="20"/>
          <w:szCs w:val="26"/>
          <w:rtl/>
        </w:rPr>
        <w:t>ה</w:t>
      </w:r>
      <w:r w:rsidR="009A24C3">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 xml:space="preserve"> קיימת חובה למסור הודעה לפקיד </w:t>
      </w:r>
      <w:r w:rsidR="007C3716">
        <w:rPr>
          <w:rFonts w:ascii="Arial" w:eastAsia="Arial Unicode MS" w:hAnsi="Arial" w:cs="David" w:hint="cs"/>
          <w:snapToGrid w:val="0"/>
          <w:spacing w:val="0"/>
          <w:sz w:val="20"/>
          <w:szCs w:val="26"/>
          <w:rtl/>
        </w:rPr>
        <w:t>ה</w:t>
      </w:r>
      <w:r>
        <w:rPr>
          <w:rFonts w:ascii="Arial" w:eastAsia="Arial Unicode MS" w:hAnsi="Arial" w:cs="David" w:hint="cs"/>
          <w:snapToGrid w:val="0"/>
          <w:spacing w:val="0"/>
          <w:sz w:val="20"/>
          <w:szCs w:val="26"/>
          <w:rtl/>
        </w:rPr>
        <w:t xml:space="preserve">שומה על </w:t>
      </w:r>
      <w:r w:rsidR="00F13BFA">
        <w:rPr>
          <w:rFonts w:ascii="Arial" w:eastAsia="Arial Unicode MS" w:hAnsi="Arial" w:cs="David" w:hint="cs"/>
          <w:snapToGrid w:val="0"/>
          <w:spacing w:val="0"/>
          <w:sz w:val="20"/>
          <w:szCs w:val="26"/>
          <w:rtl/>
        </w:rPr>
        <w:t xml:space="preserve">פתיחת עסק </w:t>
      </w:r>
      <w:r>
        <w:rPr>
          <w:rFonts w:ascii="Arial" w:eastAsia="Arial Unicode MS" w:hAnsi="Arial" w:cs="David" w:hint="cs"/>
          <w:snapToGrid w:val="0"/>
          <w:spacing w:val="0"/>
          <w:sz w:val="20"/>
          <w:szCs w:val="26"/>
          <w:rtl/>
        </w:rPr>
        <w:t xml:space="preserve">או </w:t>
      </w:r>
      <w:r w:rsidR="007C3716">
        <w:rPr>
          <w:rFonts w:ascii="Arial" w:eastAsia="Arial Unicode MS" w:hAnsi="Arial" w:cs="David" w:hint="cs"/>
          <w:snapToGrid w:val="0"/>
          <w:spacing w:val="0"/>
          <w:sz w:val="20"/>
          <w:szCs w:val="26"/>
          <w:rtl/>
        </w:rPr>
        <w:t xml:space="preserve">על </w:t>
      </w:r>
      <w:r w:rsidR="00F13BFA">
        <w:rPr>
          <w:rFonts w:ascii="Arial" w:eastAsia="Arial Unicode MS" w:hAnsi="Arial" w:cs="David" w:hint="cs"/>
          <w:snapToGrid w:val="0"/>
          <w:spacing w:val="0"/>
          <w:sz w:val="20"/>
          <w:szCs w:val="26"/>
          <w:rtl/>
        </w:rPr>
        <w:t xml:space="preserve">תחילת עיסוק במשלח יד או על </w:t>
      </w:r>
      <w:r w:rsidR="00DB77DC">
        <w:rPr>
          <w:rFonts w:ascii="Arial" w:eastAsia="Arial Unicode MS" w:hAnsi="Arial" w:cs="David" w:hint="cs"/>
          <w:snapToGrid w:val="0"/>
          <w:spacing w:val="0"/>
          <w:sz w:val="20"/>
          <w:szCs w:val="26"/>
          <w:rtl/>
        </w:rPr>
        <w:t>שינוי</w:t>
      </w:r>
      <w:r w:rsidR="00F13BFA">
        <w:rPr>
          <w:rFonts w:ascii="Arial" w:eastAsia="Arial Unicode MS" w:hAnsi="Arial" w:cs="David" w:hint="cs"/>
          <w:snapToGrid w:val="0"/>
          <w:spacing w:val="0"/>
          <w:sz w:val="20"/>
          <w:szCs w:val="26"/>
          <w:rtl/>
        </w:rPr>
        <w:t xml:space="preserve"> סוג העסק או משלח היד</w:t>
      </w:r>
      <w:r>
        <w:rPr>
          <w:rFonts w:ascii="Arial" w:eastAsia="Arial Unicode MS" w:hAnsi="Arial" w:cs="David" w:hint="cs"/>
          <w:snapToGrid w:val="0"/>
          <w:spacing w:val="0"/>
          <w:sz w:val="20"/>
          <w:szCs w:val="26"/>
          <w:rtl/>
        </w:rPr>
        <w:t xml:space="preserve">. עם זאת, אין הוראה המחייבת למסור הודעה </w:t>
      </w:r>
      <w:r w:rsidR="00F13BFA">
        <w:rPr>
          <w:rFonts w:ascii="Arial" w:eastAsia="Arial Unicode MS" w:hAnsi="Arial" w:cs="David" w:hint="cs"/>
          <w:snapToGrid w:val="0"/>
          <w:spacing w:val="0"/>
          <w:sz w:val="20"/>
          <w:szCs w:val="26"/>
          <w:rtl/>
        </w:rPr>
        <w:t xml:space="preserve">על סגירת עסק או על </w:t>
      </w:r>
      <w:r>
        <w:rPr>
          <w:rFonts w:ascii="Arial" w:eastAsia="Arial Unicode MS" w:hAnsi="Arial" w:cs="David" w:hint="cs"/>
          <w:snapToGrid w:val="0"/>
          <w:spacing w:val="0"/>
          <w:sz w:val="20"/>
          <w:szCs w:val="26"/>
          <w:rtl/>
        </w:rPr>
        <w:t>סיום</w:t>
      </w:r>
      <w:r w:rsidR="00844132">
        <w:rPr>
          <w:rFonts w:ascii="Arial" w:eastAsia="Arial Unicode MS" w:hAnsi="Arial" w:cs="David" w:hint="cs"/>
          <w:snapToGrid w:val="0"/>
          <w:spacing w:val="0"/>
          <w:sz w:val="20"/>
          <w:szCs w:val="26"/>
          <w:rtl/>
        </w:rPr>
        <w:t xml:space="preserve"> </w:t>
      </w:r>
      <w:r w:rsidR="00F13BFA">
        <w:rPr>
          <w:rFonts w:ascii="Arial" w:eastAsia="Arial Unicode MS" w:hAnsi="Arial" w:cs="David" w:hint="cs"/>
          <w:snapToGrid w:val="0"/>
          <w:spacing w:val="0"/>
          <w:sz w:val="20"/>
          <w:szCs w:val="26"/>
          <w:rtl/>
        </w:rPr>
        <w:t>עיסוק במשלח יד</w:t>
      </w:r>
      <w:r w:rsidR="006C5C65">
        <w:rPr>
          <w:rFonts w:ascii="Arial" w:eastAsia="Arial Unicode MS" w:hAnsi="Arial" w:cs="David" w:hint="cs"/>
          <w:snapToGrid w:val="0"/>
          <w:spacing w:val="0"/>
          <w:sz w:val="20"/>
          <w:szCs w:val="26"/>
          <w:rtl/>
        </w:rPr>
        <w:t xml:space="preserve">. לפיכך, מוצע לקבוע הוראה </w:t>
      </w:r>
      <w:r w:rsidR="009A24C3">
        <w:rPr>
          <w:rFonts w:ascii="Arial" w:eastAsia="Arial Unicode MS" w:hAnsi="Arial" w:cs="David" w:hint="cs"/>
          <w:snapToGrid w:val="0"/>
          <w:spacing w:val="0"/>
          <w:sz w:val="20"/>
          <w:szCs w:val="26"/>
          <w:rtl/>
        </w:rPr>
        <w:t>ש</w:t>
      </w:r>
      <w:r w:rsidR="006C5C65">
        <w:rPr>
          <w:rFonts w:ascii="Arial" w:eastAsia="Arial Unicode MS" w:hAnsi="Arial" w:cs="David" w:hint="cs"/>
          <w:snapToGrid w:val="0"/>
          <w:spacing w:val="0"/>
          <w:sz w:val="20"/>
          <w:szCs w:val="26"/>
          <w:rtl/>
        </w:rPr>
        <w:t>לפיה ימסור אדם שהפסיק את פעילות</w:t>
      </w:r>
      <w:r w:rsidR="00887112">
        <w:rPr>
          <w:rFonts w:ascii="Arial" w:eastAsia="Arial Unicode MS" w:hAnsi="Arial" w:cs="David" w:hint="cs"/>
          <w:snapToGrid w:val="0"/>
          <w:spacing w:val="0"/>
          <w:sz w:val="20"/>
          <w:szCs w:val="26"/>
          <w:rtl/>
        </w:rPr>
        <w:t>ו</w:t>
      </w:r>
      <w:r w:rsidR="006C5C65">
        <w:rPr>
          <w:rFonts w:ascii="Arial" w:eastAsia="Arial Unicode MS" w:hAnsi="Arial" w:cs="David" w:hint="cs"/>
          <w:snapToGrid w:val="0"/>
          <w:spacing w:val="0"/>
          <w:sz w:val="20"/>
          <w:szCs w:val="26"/>
          <w:rtl/>
        </w:rPr>
        <w:t xml:space="preserve"> </w:t>
      </w:r>
      <w:r w:rsidR="00F13BFA">
        <w:rPr>
          <w:rFonts w:ascii="Arial" w:eastAsia="Arial Unicode MS" w:hAnsi="Arial" w:cs="David" w:hint="cs"/>
          <w:snapToGrid w:val="0"/>
          <w:spacing w:val="0"/>
          <w:sz w:val="20"/>
          <w:szCs w:val="26"/>
          <w:rtl/>
        </w:rPr>
        <w:t xml:space="preserve">העסקית </w:t>
      </w:r>
      <w:r w:rsidR="006C5C65">
        <w:rPr>
          <w:rFonts w:ascii="Arial" w:eastAsia="Arial Unicode MS" w:hAnsi="Arial" w:cs="David" w:hint="cs"/>
          <w:snapToGrid w:val="0"/>
          <w:spacing w:val="0"/>
          <w:sz w:val="20"/>
          <w:szCs w:val="26"/>
          <w:rtl/>
        </w:rPr>
        <w:t xml:space="preserve">כליל </w:t>
      </w:r>
      <w:r w:rsidR="009A24C3">
        <w:rPr>
          <w:rFonts w:ascii="Arial" w:eastAsia="Arial Unicode MS" w:hAnsi="Arial" w:cs="David" w:hint="cs"/>
          <w:snapToGrid w:val="0"/>
          <w:spacing w:val="0"/>
          <w:sz w:val="20"/>
          <w:szCs w:val="26"/>
          <w:rtl/>
        </w:rPr>
        <w:t xml:space="preserve">הודעה </w:t>
      </w:r>
      <w:r w:rsidR="006C5C65">
        <w:rPr>
          <w:rFonts w:ascii="Arial" w:eastAsia="Arial Unicode MS" w:hAnsi="Arial" w:cs="David" w:hint="cs"/>
          <w:snapToGrid w:val="0"/>
          <w:spacing w:val="0"/>
          <w:sz w:val="20"/>
          <w:szCs w:val="26"/>
          <w:rtl/>
        </w:rPr>
        <w:t>לפקיד השומה</w:t>
      </w:r>
      <w:r w:rsidR="009A24C3">
        <w:rPr>
          <w:rFonts w:ascii="Arial" w:eastAsia="Arial Unicode MS" w:hAnsi="Arial" w:cs="David" w:hint="cs"/>
          <w:snapToGrid w:val="0"/>
          <w:spacing w:val="0"/>
          <w:sz w:val="20"/>
          <w:szCs w:val="26"/>
          <w:rtl/>
        </w:rPr>
        <w:t xml:space="preserve"> על הפסקת </w:t>
      </w:r>
      <w:r w:rsidR="00844132">
        <w:rPr>
          <w:rFonts w:ascii="Arial" w:eastAsia="Arial Unicode MS" w:hAnsi="Arial" w:cs="David" w:hint="cs"/>
          <w:snapToGrid w:val="0"/>
          <w:spacing w:val="0"/>
          <w:sz w:val="20"/>
          <w:szCs w:val="26"/>
          <w:rtl/>
        </w:rPr>
        <w:t>ה</w:t>
      </w:r>
      <w:r w:rsidR="009A24C3">
        <w:rPr>
          <w:rFonts w:ascii="Arial" w:eastAsia="Arial Unicode MS" w:hAnsi="Arial" w:cs="David" w:hint="cs"/>
          <w:snapToGrid w:val="0"/>
          <w:spacing w:val="0"/>
          <w:sz w:val="20"/>
          <w:szCs w:val="26"/>
          <w:rtl/>
        </w:rPr>
        <w:t>פעילות</w:t>
      </w:r>
      <w:r w:rsidR="00844132">
        <w:rPr>
          <w:rFonts w:ascii="Arial" w:eastAsia="Arial Unicode MS" w:hAnsi="Arial" w:cs="David" w:hint="cs"/>
          <w:snapToGrid w:val="0"/>
          <w:spacing w:val="0"/>
          <w:sz w:val="20"/>
          <w:szCs w:val="26"/>
          <w:rtl/>
        </w:rPr>
        <w:t>,</w:t>
      </w:r>
      <w:r w:rsidR="009A24C3">
        <w:rPr>
          <w:rFonts w:ascii="Arial" w:eastAsia="Arial Unicode MS" w:hAnsi="Arial" w:cs="David" w:hint="cs"/>
          <w:snapToGrid w:val="0"/>
          <w:spacing w:val="0"/>
          <w:sz w:val="20"/>
          <w:szCs w:val="26"/>
          <w:rtl/>
        </w:rPr>
        <w:t xml:space="preserve"> </w:t>
      </w:r>
      <w:r w:rsidR="006C5C65">
        <w:rPr>
          <w:rFonts w:ascii="Arial" w:eastAsia="Arial Unicode MS" w:hAnsi="Arial" w:cs="David" w:hint="cs"/>
          <w:snapToGrid w:val="0"/>
          <w:spacing w:val="0"/>
          <w:sz w:val="20"/>
          <w:szCs w:val="26"/>
          <w:rtl/>
        </w:rPr>
        <w:t xml:space="preserve">דבר שימנע פעולות אכיפה מיותרות. </w:t>
      </w:r>
    </w:p>
    <w:p w14:paraId="47EEE0A1" w14:textId="39F442D6" w:rsidR="002841EB" w:rsidRDefault="006C5C65" w:rsidP="009A24C3">
      <w:pPr>
        <w:tabs>
          <w:tab w:val="center" w:pos="3918"/>
          <w:tab w:val="center" w:pos="5619"/>
        </w:tabs>
        <w:spacing w:line="36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בנוסף</w:t>
      </w:r>
      <w:r w:rsidR="009A24C3">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 xml:space="preserve"> מוצע לערוך מספר שינויים טכנ</w:t>
      </w:r>
      <w:r w:rsidR="00887112">
        <w:rPr>
          <w:rFonts w:ascii="Arial" w:eastAsia="Arial Unicode MS" w:hAnsi="Arial" w:cs="David" w:hint="cs"/>
          <w:snapToGrid w:val="0"/>
          <w:spacing w:val="0"/>
          <w:sz w:val="20"/>
          <w:szCs w:val="26"/>
          <w:rtl/>
        </w:rPr>
        <w:t>יים, על מנת ליי</w:t>
      </w:r>
      <w:r>
        <w:rPr>
          <w:rFonts w:ascii="Arial" w:eastAsia="Arial Unicode MS" w:hAnsi="Arial" w:cs="David" w:hint="cs"/>
          <w:snapToGrid w:val="0"/>
          <w:spacing w:val="0"/>
          <w:sz w:val="20"/>
          <w:szCs w:val="26"/>
          <w:rtl/>
        </w:rPr>
        <w:t>על ולשפר</w:t>
      </w:r>
      <w:r w:rsidR="006453C2">
        <w:rPr>
          <w:rFonts w:ascii="Arial" w:eastAsia="Arial Unicode MS" w:hAnsi="Arial" w:cs="David" w:hint="cs"/>
          <w:snapToGrid w:val="0"/>
          <w:spacing w:val="0"/>
          <w:sz w:val="20"/>
          <w:szCs w:val="26"/>
          <w:rtl/>
        </w:rPr>
        <w:t xml:space="preserve"> את אופן הדיווח, קליטת הנתונים </w:t>
      </w:r>
      <w:r>
        <w:rPr>
          <w:rFonts w:ascii="Arial" w:eastAsia="Arial Unicode MS" w:hAnsi="Arial" w:cs="David" w:hint="cs"/>
          <w:snapToGrid w:val="0"/>
          <w:spacing w:val="0"/>
          <w:sz w:val="20"/>
          <w:szCs w:val="26"/>
          <w:rtl/>
        </w:rPr>
        <w:t>והטיפול בדו</w:t>
      </w:r>
      <w:r w:rsidR="006453C2">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 xml:space="preserve">חות. </w:t>
      </w:r>
    </w:p>
    <w:p w14:paraId="322C5695" w14:textId="77777777" w:rsidR="006C5C65" w:rsidRPr="00307ED2" w:rsidRDefault="006C5C65" w:rsidP="00467A86">
      <w:pPr>
        <w:tabs>
          <w:tab w:val="center" w:pos="3918"/>
          <w:tab w:val="center" w:pos="5619"/>
        </w:tabs>
        <w:spacing w:line="360" w:lineRule="auto"/>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 </w:t>
      </w:r>
    </w:p>
    <w:p w14:paraId="6A0260A7" w14:textId="3A31F61C" w:rsidR="00736D67" w:rsidRPr="00736D67" w:rsidRDefault="00F13BFA" w:rsidP="00736D67">
      <w:pPr>
        <w:pStyle w:val="Hesber1st"/>
        <w:rPr>
          <w:b/>
          <w:bCs/>
          <w:rtl/>
        </w:rPr>
      </w:pPr>
      <w:r>
        <w:rPr>
          <w:rFonts w:hint="cs"/>
          <w:b/>
          <w:bCs/>
          <w:rtl/>
        </w:rPr>
        <w:t>ל</w:t>
      </w:r>
      <w:r w:rsidR="001F0344" w:rsidRPr="00AC1ADA">
        <w:rPr>
          <w:rFonts w:hint="cs"/>
          <w:b/>
          <w:bCs/>
          <w:rtl/>
        </w:rPr>
        <w:t>סעי</w:t>
      </w:r>
      <w:r w:rsidR="00736D67">
        <w:rPr>
          <w:rFonts w:hint="cs"/>
          <w:b/>
          <w:bCs/>
          <w:rtl/>
        </w:rPr>
        <w:t xml:space="preserve">ף </w:t>
      </w:r>
      <w:r w:rsidR="002841EB">
        <w:rPr>
          <w:rFonts w:hint="cs"/>
          <w:b/>
          <w:bCs/>
          <w:rtl/>
        </w:rPr>
        <w:t>1</w:t>
      </w:r>
      <w:r w:rsidR="001F0344" w:rsidRPr="00307ED2">
        <w:rPr>
          <w:rFonts w:hint="cs"/>
          <w:rtl/>
        </w:rPr>
        <w:t xml:space="preserve"> </w:t>
      </w:r>
      <w:r w:rsidR="007C3716">
        <w:rPr>
          <w:rFonts w:hint="cs"/>
          <w:rtl/>
        </w:rPr>
        <w:t xml:space="preserve"> -</w:t>
      </w:r>
    </w:p>
    <w:p w14:paraId="7842CE4A" w14:textId="50A3623A" w:rsidR="00736D67" w:rsidRDefault="00736D67" w:rsidP="00844132">
      <w:pPr>
        <w:pStyle w:val="Hesber1st"/>
        <w:rPr>
          <w:rtl/>
        </w:rPr>
      </w:pPr>
      <w:r>
        <w:rPr>
          <w:rFonts w:hint="cs"/>
          <w:rtl/>
        </w:rPr>
        <w:t xml:space="preserve">סעיף 134 </w:t>
      </w:r>
      <w:r w:rsidR="009A24C3">
        <w:rPr>
          <w:rFonts w:hint="cs"/>
          <w:rtl/>
        </w:rPr>
        <w:t xml:space="preserve">לפקודה </w:t>
      </w:r>
      <w:r>
        <w:rPr>
          <w:rFonts w:hint="cs"/>
          <w:rtl/>
        </w:rPr>
        <w:t xml:space="preserve">קובע כי אדם שבשנת מס פלונית פתח עסק או </w:t>
      </w:r>
      <w:r w:rsidR="00AA2F20">
        <w:rPr>
          <w:rFonts w:hint="cs"/>
          <w:rtl/>
        </w:rPr>
        <w:t>ש</w:t>
      </w:r>
      <w:r>
        <w:rPr>
          <w:rFonts w:hint="cs"/>
          <w:rtl/>
        </w:rPr>
        <w:t xml:space="preserve">החל לעסוק במשלח יד או ששינה את סוג עסקו או </w:t>
      </w:r>
      <w:r w:rsidR="00AA2F20">
        <w:rPr>
          <w:rFonts w:hint="cs"/>
          <w:rtl/>
        </w:rPr>
        <w:t xml:space="preserve">את </w:t>
      </w:r>
      <w:r>
        <w:rPr>
          <w:rFonts w:hint="cs"/>
          <w:rtl/>
        </w:rPr>
        <w:t xml:space="preserve">פעילותו מחויב למסור הודעה לפקיד השומה על התחלת </w:t>
      </w:r>
      <w:r w:rsidR="00CB0E48">
        <w:rPr>
          <w:rFonts w:hint="cs"/>
          <w:rtl/>
        </w:rPr>
        <w:t xml:space="preserve">העיסוק </w:t>
      </w:r>
      <w:r>
        <w:rPr>
          <w:rFonts w:hint="cs"/>
          <w:rtl/>
        </w:rPr>
        <w:t xml:space="preserve">או </w:t>
      </w:r>
      <w:r w:rsidR="000852EA">
        <w:rPr>
          <w:rFonts w:hint="cs"/>
          <w:rtl/>
        </w:rPr>
        <w:t xml:space="preserve">על </w:t>
      </w:r>
      <w:r>
        <w:rPr>
          <w:rFonts w:hint="cs"/>
          <w:rtl/>
        </w:rPr>
        <w:t>שינוי</w:t>
      </w:r>
      <w:r w:rsidR="00CB0E48">
        <w:rPr>
          <w:rFonts w:hint="cs"/>
          <w:rtl/>
        </w:rPr>
        <w:t>ו</w:t>
      </w:r>
      <w:r>
        <w:rPr>
          <w:rFonts w:hint="cs"/>
          <w:rtl/>
        </w:rPr>
        <w:t xml:space="preserve">. עם זאת, כיום אין חובה על אדם הצופה כי תהא לו פעילות בתחום הניכויים, או שהחל לפעול כאמור להודיע לפקיד השומה, והוא מחויב מכוח הפקודה לדווח בדיעבד רק בגין החודשים </w:t>
      </w:r>
      <w:r w:rsidR="00AA2F20">
        <w:rPr>
          <w:rFonts w:hint="cs"/>
          <w:rtl/>
        </w:rPr>
        <w:t>ש</w:t>
      </w:r>
      <w:r>
        <w:rPr>
          <w:rFonts w:hint="cs"/>
          <w:rtl/>
        </w:rPr>
        <w:t xml:space="preserve">בהם הייתה לו פעילות. מוצע להרחיב את </w:t>
      </w:r>
      <w:r w:rsidR="00AA2F20">
        <w:rPr>
          <w:rFonts w:hint="cs"/>
          <w:rtl/>
        </w:rPr>
        <w:t xml:space="preserve">הוראות </w:t>
      </w:r>
      <w:r>
        <w:rPr>
          <w:rFonts w:hint="cs"/>
          <w:rtl/>
        </w:rPr>
        <w:t xml:space="preserve">סעיף 134 </w:t>
      </w:r>
      <w:r w:rsidR="00AA2F20">
        <w:rPr>
          <w:rFonts w:hint="cs"/>
          <w:rtl/>
        </w:rPr>
        <w:t xml:space="preserve">לפקודה </w:t>
      </w:r>
      <w:r>
        <w:rPr>
          <w:rFonts w:hint="cs"/>
          <w:rtl/>
        </w:rPr>
        <w:t xml:space="preserve">ולקבוע כי </w:t>
      </w:r>
      <w:r w:rsidR="00AA2F20">
        <w:rPr>
          <w:rFonts w:hint="cs"/>
          <w:rtl/>
        </w:rPr>
        <w:t xml:space="preserve">על </w:t>
      </w:r>
      <w:r>
        <w:rPr>
          <w:rFonts w:hint="cs"/>
          <w:rtl/>
        </w:rPr>
        <w:t xml:space="preserve">אדם הצופה שתהיה לו פעילות במערך הניכויים (פעילות בהתאם להוראות סעיפים 164, 166, 170 או 181ב  </w:t>
      </w:r>
      <w:r w:rsidR="00844132">
        <w:rPr>
          <w:rFonts w:hint="cs"/>
          <w:rtl/>
        </w:rPr>
        <w:t>(</w:t>
      </w:r>
      <w:r>
        <w:rPr>
          <w:rFonts w:hint="cs"/>
          <w:rtl/>
        </w:rPr>
        <w:t xml:space="preserve">להלן </w:t>
      </w:r>
      <w:r w:rsidR="00844132">
        <w:rPr>
          <w:rFonts w:hint="cs"/>
          <w:rtl/>
        </w:rPr>
        <w:t xml:space="preserve">- </w:t>
      </w:r>
      <w:r>
        <w:rPr>
          <w:rFonts w:hint="cs"/>
          <w:rtl/>
        </w:rPr>
        <w:t>מערך הניכויים) או אדם שהחל לפעול כאמור</w:t>
      </w:r>
      <w:r w:rsidR="0033192E">
        <w:rPr>
          <w:rFonts w:hint="cs"/>
          <w:rtl/>
        </w:rPr>
        <w:t>,</w:t>
      </w:r>
      <w:r>
        <w:rPr>
          <w:rFonts w:hint="cs"/>
          <w:rtl/>
        </w:rPr>
        <w:t xml:space="preserve"> להודיע לפקיד השומה על פעילות</w:t>
      </w:r>
      <w:r w:rsidR="00844132">
        <w:rPr>
          <w:rFonts w:hint="cs"/>
          <w:rtl/>
        </w:rPr>
        <w:t xml:space="preserve"> </w:t>
      </w:r>
      <w:r w:rsidR="00CB0E48">
        <w:rPr>
          <w:rFonts w:hint="cs"/>
          <w:rtl/>
        </w:rPr>
        <w:t>שקיימת לגביה חובת ניכוי מס במקור</w:t>
      </w:r>
      <w:r>
        <w:rPr>
          <w:rFonts w:hint="cs"/>
          <w:rtl/>
        </w:rPr>
        <w:t>. במקביל</w:t>
      </w:r>
      <w:r w:rsidR="00CB0E48">
        <w:rPr>
          <w:rFonts w:hint="cs"/>
          <w:rtl/>
        </w:rPr>
        <w:t>,</w:t>
      </w:r>
      <w:r>
        <w:rPr>
          <w:rFonts w:hint="cs"/>
          <w:rtl/>
        </w:rPr>
        <w:t xml:space="preserve"> מוצע לקבוע כי אדם יהא רשאי למסור הודעה בכתב לפקיד </w:t>
      </w:r>
      <w:r w:rsidR="00CB0E48">
        <w:rPr>
          <w:rFonts w:hint="cs"/>
          <w:rtl/>
        </w:rPr>
        <w:t>ה</w:t>
      </w:r>
      <w:r>
        <w:rPr>
          <w:rFonts w:hint="cs"/>
          <w:rtl/>
        </w:rPr>
        <w:t xml:space="preserve">שומה </w:t>
      </w:r>
      <w:r w:rsidR="00CB0E48">
        <w:rPr>
          <w:rFonts w:hint="cs"/>
          <w:rtl/>
        </w:rPr>
        <w:t xml:space="preserve">ובה </w:t>
      </w:r>
      <w:r>
        <w:rPr>
          <w:rFonts w:hint="cs"/>
          <w:rtl/>
        </w:rPr>
        <w:t xml:space="preserve">להודיע </w:t>
      </w:r>
      <w:r w:rsidR="00844132">
        <w:rPr>
          <w:rFonts w:hint="cs"/>
          <w:rtl/>
        </w:rPr>
        <w:t xml:space="preserve">לו </w:t>
      </w:r>
      <w:r>
        <w:rPr>
          <w:rFonts w:hint="cs"/>
          <w:rtl/>
        </w:rPr>
        <w:t xml:space="preserve">כי אין לו פעילות במערך הניכויים וכן </w:t>
      </w:r>
      <w:r w:rsidR="00CB0E48">
        <w:rPr>
          <w:rFonts w:hint="cs"/>
          <w:rtl/>
        </w:rPr>
        <w:t xml:space="preserve">כי </w:t>
      </w:r>
      <w:r>
        <w:rPr>
          <w:rFonts w:hint="cs"/>
          <w:rtl/>
        </w:rPr>
        <w:t xml:space="preserve">אין הוא צופה </w:t>
      </w:r>
      <w:r w:rsidR="00AA2F20">
        <w:rPr>
          <w:rFonts w:hint="cs"/>
          <w:rtl/>
        </w:rPr>
        <w:t>ש</w:t>
      </w:r>
      <w:r>
        <w:rPr>
          <w:rFonts w:hint="cs"/>
          <w:rtl/>
        </w:rPr>
        <w:t xml:space="preserve">בעתיד שתהיה לו פעילות בתחום. הודעה </w:t>
      </w:r>
      <w:r>
        <w:rPr>
          <w:rFonts w:hint="cs"/>
          <w:rtl/>
        </w:rPr>
        <w:lastRenderedPageBreak/>
        <w:t>כאמור מהווה למעשה בקשה לסגירת תיק בתחום הניכויים.</w:t>
      </w:r>
    </w:p>
    <w:p w14:paraId="35F0F51A" w14:textId="2B6ED2D6" w:rsidR="00736D67" w:rsidRDefault="00736D67" w:rsidP="00736D67">
      <w:pPr>
        <w:pStyle w:val="Hesber1st"/>
        <w:rPr>
          <w:rtl/>
        </w:rPr>
      </w:pPr>
      <w:r>
        <w:rPr>
          <w:rFonts w:hint="cs"/>
          <w:rtl/>
        </w:rPr>
        <w:t>כצעד משלים, מוצע לחייב אדם שהפסיק כליל את עסקיו להודיע על כך לפקיד שומה. הודעה כאמור משפרת את הליך הגביה ומקטינה את החיכוך בין הנישומים לרשות המסים.</w:t>
      </w:r>
    </w:p>
    <w:p w14:paraId="559B1AC2" w14:textId="77777777" w:rsidR="00844132" w:rsidRDefault="00844132" w:rsidP="00736D67">
      <w:pPr>
        <w:pStyle w:val="Hesber1st"/>
        <w:rPr>
          <w:rtl/>
        </w:rPr>
      </w:pPr>
    </w:p>
    <w:p w14:paraId="77F7C8F9" w14:textId="77777777" w:rsidR="009C63EF" w:rsidRPr="00307ED2" w:rsidRDefault="00CB0E48">
      <w:pPr>
        <w:pStyle w:val="Hesber1st"/>
        <w:tabs>
          <w:tab w:val="left" w:pos="2551"/>
        </w:tabs>
        <w:rPr>
          <w:b/>
          <w:bCs/>
          <w:rtl/>
        </w:rPr>
      </w:pPr>
      <w:r>
        <w:rPr>
          <w:rFonts w:hint="cs"/>
          <w:b/>
          <w:bCs/>
          <w:rtl/>
        </w:rPr>
        <w:t>ל</w:t>
      </w:r>
      <w:r w:rsidR="00591BEF" w:rsidRPr="00307ED2">
        <w:rPr>
          <w:rFonts w:hint="cs"/>
          <w:b/>
          <w:bCs/>
          <w:rtl/>
        </w:rPr>
        <w:t xml:space="preserve">סעיף </w:t>
      </w:r>
      <w:r w:rsidR="00A46D12" w:rsidRPr="00307ED2">
        <w:rPr>
          <w:rFonts w:hint="cs"/>
          <w:b/>
          <w:bCs/>
          <w:rtl/>
        </w:rPr>
        <w:t>2</w:t>
      </w:r>
      <w:r w:rsidR="005F1C56">
        <w:rPr>
          <w:rFonts w:hint="cs"/>
          <w:b/>
          <w:bCs/>
          <w:rtl/>
        </w:rPr>
        <w:t>-</w:t>
      </w:r>
    </w:p>
    <w:p w14:paraId="4BAF66A8" w14:textId="1BAAE3AF" w:rsidR="00736D67" w:rsidRDefault="00736D67" w:rsidP="0033192E">
      <w:pPr>
        <w:pStyle w:val="Hesber1st"/>
        <w:tabs>
          <w:tab w:val="left" w:pos="2551"/>
        </w:tabs>
        <w:rPr>
          <w:rtl/>
        </w:rPr>
      </w:pPr>
      <w:r>
        <w:rPr>
          <w:rFonts w:hint="cs"/>
          <w:b/>
          <w:bCs/>
          <w:rtl/>
        </w:rPr>
        <w:t>לסעיף קטן</w:t>
      </w:r>
      <w:r w:rsidR="00D82C41" w:rsidRPr="00307ED2">
        <w:rPr>
          <w:rFonts w:hint="cs"/>
          <w:b/>
          <w:bCs/>
          <w:rtl/>
        </w:rPr>
        <w:t xml:space="preserve"> (א)</w:t>
      </w:r>
      <w:r w:rsidR="0033192E">
        <w:rPr>
          <w:rFonts w:hint="cs"/>
          <w:b/>
          <w:bCs/>
          <w:rtl/>
        </w:rPr>
        <w:t xml:space="preserve"> -</w:t>
      </w:r>
      <w:r w:rsidR="0033192E">
        <w:rPr>
          <w:rFonts w:hint="cs"/>
          <w:rtl/>
        </w:rPr>
        <w:t xml:space="preserve"> </w:t>
      </w:r>
      <w:r>
        <w:rPr>
          <w:rFonts w:hint="cs"/>
          <w:rtl/>
        </w:rPr>
        <w:t xml:space="preserve">סעיף 166 </w:t>
      </w:r>
      <w:r w:rsidR="00AA2F20">
        <w:rPr>
          <w:rFonts w:hint="cs"/>
          <w:rtl/>
        </w:rPr>
        <w:t xml:space="preserve">לפקודה </w:t>
      </w:r>
      <w:r>
        <w:rPr>
          <w:rFonts w:hint="cs"/>
          <w:rtl/>
        </w:rPr>
        <w:t>קובע כי אדם שניכה מס לפי סעיף</w:t>
      </w:r>
      <w:r w:rsidR="00844132">
        <w:rPr>
          <w:rFonts w:hint="cs"/>
          <w:rtl/>
        </w:rPr>
        <w:t xml:space="preserve"> 164 ל</w:t>
      </w:r>
      <w:r w:rsidR="00AA2F20">
        <w:rPr>
          <w:rFonts w:hint="cs"/>
          <w:rtl/>
        </w:rPr>
        <w:t>פקודה</w:t>
      </w:r>
      <w:r w:rsidR="00844132">
        <w:rPr>
          <w:rFonts w:hint="cs"/>
          <w:rtl/>
        </w:rPr>
        <w:t>,</w:t>
      </w:r>
      <w:r>
        <w:rPr>
          <w:rFonts w:hint="cs"/>
          <w:rtl/>
        </w:rPr>
        <w:t xml:space="preserve"> חייב לשלם לפקיד השומה במועד שנקבע בתקנות את סכום המס שניכה ולהגיש לו דו</w:t>
      </w:r>
      <w:r w:rsidR="00844132">
        <w:rPr>
          <w:rFonts w:hint="cs"/>
          <w:rtl/>
        </w:rPr>
        <w:t>"</w:t>
      </w:r>
      <w:r>
        <w:rPr>
          <w:rFonts w:hint="cs"/>
          <w:rtl/>
        </w:rPr>
        <w:t xml:space="preserve">ח באותו מועד. מוצע להבהיר כי החובה חלה לא רק על המנכה אלא גם על מי שהיה חייב לנכות </w:t>
      </w:r>
      <w:r w:rsidR="00CB0E48">
        <w:rPr>
          <w:rFonts w:hint="cs"/>
          <w:rtl/>
        </w:rPr>
        <w:t xml:space="preserve">מס </w:t>
      </w:r>
      <w:r>
        <w:rPr>
          <w:rFonts w:hint="cs"/>
          <w:rtl/>
        </w:rPr>
        <w:t>ולא ניכה בפועל. כמו כן, מוצע לתקן את הסעיף באופן שיכלול גם התייחסות לסעיפים 170 ו-181</w:t>
      </w:r>
      <w:r w:rsidR="00AA2F20">
        <w:rPr>
          <w:rFonts w:hint="cs"/>
          <w:rtl/>
        </w:rPr>
        <w:t xml:space="preserve"> לפקודה</w:t>
      </w:r>
      <w:r w:rsidR="00844132">
        <w:rPr>
          <w:rFonts w:hint="cs"/>
          <w:rtl/>
        </w:rPr>
        <w:t>,</w:t>
      </w:r>
      <w:r w:rsidR="00AA2F20">
        <w:rPr>
          <w:rFonts w:hint="cs"/>
          <w:rtl/>
        </w:rPr>
        <w:t xml:space="preserve"> </w:t>
      </w:r>
      <w:r>
        <w:rPr>
          <w:rFonts w:hint="cs"/>
          <w:rtl/>
        </w:rPr>
        <w:t xml:space="preserve">העוסקים בחובת המשלם לתושב חוץ ומקדמה בשל הוצאות עודפות, כך שחובת הדיווח המקוון שתיקבע בסעיף </w:t>
      </w:r>
      <w:r w:rsidR="00CB0E48">
        <w:rPr>
          <w:rFonts w:hint="cs"/>
          <w:rtl/>
        </w:rPr>
        <w:t xml:space="preserve"> קטן (</w:t>
      </w:r>
      <w:r>
        <w:rPr>
          <w:rFonts w:hint="cs"/>
          <w:rtl/>
        </w:rPr>
        <w:t>ב</w:t>
      </w:r>
      <w:r w:rsidR="00CB0E48">
        <w:rPr>
          <w:rFonts w:hint="cs"/>
          <w:rtl/>
        </w:rPr>
        <w:t>)</w:t>
      </w:r>
      <w:r>
        <w:rPr>
          <w:rFonts w:hint="cs"/>
          <w:rtl/>
        </w:rPr>
        <w:t xml:space="preserve"> המוצע תחול גם עליהם. </w:t>
      </w:r>
    </w:p>
    <w:p w14:paraId="23021C5D" w14:textId="77777777" w:rsidR="00736D67" w:rsidRDefault="00736D67" w:rsidP="00736D67">
      <w:pPr>
        <w:pStyle w:val="Hesber1st"/>
        <w:tabs>
          <w:tab w:val="left" w:pos="2551"/>
        </w:tabs>
        <w:rPr>
          <w:rtl/>
        </w:rPr>
      </w:pPr>
    </w:p>
    <w:p w14:paraId="2306F3C1" w14:textId="711FD75D" w:rsidR="00736D67" w:rsidRDefault="00736D67" w:rsidP="00844132">
      <w:pPr>
        <w:pStyle w:val="Hesber1st"/>
        <w:tabs>
          <w:tab w:val="left" w:pos="2551"/>
        </w:tabs>
        <w:rPr>
          <w:b/>
          <w:bCs/>
          <w:rtl/>
        </w:rPr>
      </w:pPr>
      <w:r>
        <w:rPr>
          <w:rFonts w:hint="cs"/>
          <w:b/>
          <w:bCs/>
          <w:rtl/>
        </w:rPr>
        <w:t>לסעיף קטן</w:t>
      </w:r>
      <w:r w:rsidRPr="00307ED2">
        <w:rPr>
          <w:rFonts w:hint="cs"/>
          <w:b/>
          <w:bCs/>
          <w:rtl/>
        </w:rPr>
        <w:t xml:space="preserve"> (</w:t>
      </w:r>
      <w:r>
        <w:rPr>
          <w:rFonts w:hint="cs"/>
          <w:b/>
          <w:bCs/>
          <w:rtl/>
        </w:rPr>
        <w:t>ב</w:t>
      </w:r>
      <w:r w:rsidRPr="00307ED2">
        <w:rPr>
          <w:rFonts w:hint="cs"/>
          <w:b/>
          <w:bCs/>
          <w:rtl/>
        </w:rPr>
        <w:t>)</w:t>
      </w:r>
      <w:r>
        <w:rPr>
          <w:rFonts w:hint="cs"/>
          <w:b/>
          <w:bCs/>
          <w:rtl/>
        </w:rPr>
        <w:t xml:space="preserve"> </w:t>
      </w:r>
      <w:r>
        <w:rPr>
          <w:rFonts w:hint="cs"/>
          <w:rtl/>
        </w:rPr>
        <w:t xml:space="preserve"> </w:t>
      </w:r>
      <w:r>
        <w:rPr>
          <w:rtl/>
        </w:rPr>
        <w:t>–</w:t>
      </w:r>
      <w:r>
        <w:rPr>
          <w:rFonts w:hint="cs"/>
          <w:rtl/>
        </w:rPr>
        <w:t xml:space="preserve"> מוצע לקבוע כי אדם שמסר הודעה בהתאם להוראות סעיף 134(ב)(1) </w:t>
      </w:r>
      <w:r w:rsidR="00AA2F20">
        <w:rPr>
          <w:rFonts w:hint="cs"/>
          <w:rtl/>
        </w:rPr>
        <w:t xml:space="preserve">לפקודה </w:t>
      </w:r>
      <w:r>
        <w:rPr>
          <w:rFonts w:hint="cs"/>
          <w:rtl/>
        </w:rPr>
        <w:t>על פעילות במערך הניכויים, ולא מסר הודעה כאמור בסעיפים 134(ב)(2) או 134(ג)</w:t>
      </w:r>
      <w:r w:rsidR="00AA2F20">
        <w:rPr>
          <w:rFonts w:hint="cs"/>
          <w:rtl/>
        </w:rPr>
        <w:t xml:space="preserve"> לפקודה</w:t>
      </w:r>
      <w:r w:rsidR="00844132">
        <w:rPr>
          <w:rFonts w:hint="cs"/>
          <w:rtl/>
        </w:rPr>
        <w:t>,</w:t>
      </w:r>
      <w:r>
        <w:rPr>
          <w:rFonts w:hint="cs"/>
          <w:rtl/>
        </w:rPr>
        <w:t xml:space="preserve"> כלומר הודעה בגין סיום פעילות במערך הניכויים או הפסקה של כלל פעילותו, יחויב להגיש דוח תקופתי בהתאם למועדים שנקבעו בתקנות. </w:t>
      </w:r>
    </w:p>
    <w:p w14:paraId="6D960CC9" w14:textId="77777777" w:rsidR="006617BE" w:rsidRPr="00736D67" w:rsidRDefault="006617BE" w:rsidP="00844132">
      <w:pPr>
        <w:pStyle w:val="Hesber1st"/>
        <w:tabs>
          <w:tab w:val="left" w:pos="2551"/>
        </w:tabs>
        <w:rPr>
          <w:b/>
          <w:bCs/>
          <w:rtl/>
        </w:rPr>
      </w:pPr>
    </w:p>
    <w:p w14:paraId="5CC1F007" w14:textId="12F59580" w:rsidR="00736D67" w:rsidRDefault="00736D67" w:rsidP="00844132">
      <w:pPr>
        <w:pStyle w:val="Hesber1st"/>
        <w:tabs>
          <w:tab w:val="left" w:pos="2551"/>
        </w:tabs>
        <w:rPr>
          <w:rtl/>
        </w:rPr>
      </w:pPr>
      <w:r>
        <w:rPr>
          <w:rFonts w:hint="cs"/>
          <w:rtl/>
        </w:rPr>
        <w:t>בהתאם לדין הקיים</w:t>
      </w:r>
      <w:r w:rsidR="00AA2F20">
        <w:rPr>
          <w:rFonts w:hint="cs"/>
          <w:rtl/>
        </w:rPr>
        <w:t>,</w:t>
      </w:r>
      <w:r>
        <w:rPr>
          <w:rFonts w:hint="cs"/>
          <w:rtl/>
        </w:rPr>
        <w:t xml:space="preserve"> אדם הפועל במערך הניכויים כיום</w:t>
      </w:r>
      <w:r w:rsidR="00844132">
        <w:rPr>
          <w:rFonts w:hint="cs"/>
          <w:rtl/>
        </w:rPr>
        <w:t>,</w:t>
      </w:r>
      <w:r>
        <w:rPr>
          <w:rFonts w:hint="cs"/>
          <w:rtl/>
        </w:rPr>
        <w:t xml:space="preserve"> מחויב להגיש דו</w:t>
      </w:r>
      <w:r w:rsidR="00844132">
        <w:rPr>
          <w:rFonts w:hint="cs"/>
          <w:rtl/>
        </w:rPr>
        <w:t>"</w:t>
      </w:r>
      <w:r>
        <w:rPr>
          <w:rFonts w:hint="cs"/>
          <w:rtl/>
        </w:rPr>
        <w:t xml:space="preserve">ח </w:t>
      </w:r>
      <w:r w:rsidR="00844132">
        <w:rPr>
          <w:rFonts w:hint="cs"/>
          <w:rtl/>
        </w:rPr>
        <w:t>לגבי</w:t>
      </w:r>
      <w:r>
        <w:rPr>
          <w:rFonts w:hint="cs"/>
          <w:rtl/>
        </w:rPr>
        <w:t xml:space="preserve"> כל חודש </w:t>
      </w:r>
      <w:r w:rsidR="00AA2F20">
        <w:rPr>
          <w:rFonts w:hint="cs"/>
          <w:rtl/>
        </w:rPr>
        <w:t>ש</w:t>
      </w:r>
      <w:r>
        <w:rPr>
          <w:rFonts w:hint="cs"/>
          <w:rtl/>
        </w:rPr>
        <w:t xml:space="preserve">בו הייתה לו פעילות במערך הניכויים ומאידך, </w:t>
      </w:r>
      <w:r w:rsidR="00844132">
        <w:rPr>
          <w:rFonts w:hint="cs"/>
          <w:rtl/>
        </w:rPr>
        <w:t>לג</w:t>
      </w:r>
      <w:r>
        <w:rPr>
          <w:rFonts w:hint="cs"/>
          <w:rtl/>
        </w:rPr>
        <w:t>בי חודשים שבהם לא הייתה לו פעילות במערך הניכויים, אין הוא מחויב להגיש דו</w:t>
      </w:r>
      <w:r w:rsidR="00844132">
        <w:rPr>
          <w:rFonts w:hint="cs"/>
          <w:rtl/>
        </w:rPr>
        <w:t>"</w:t>
      </w:r>
      <w:r>
        <w:rPr>
          <w:rFonts w:hint="cs"/>
          <w:rtl/>
        </w:rPr>
        <w:t xml:space="preserve">ח. </w:t>
      </w:r>
    </w:p>
    <w:p w14:paraId="7274F8A2" w14:textId="77777777" w:rsidR="006617BE" w:rsidRDefault="006617BE" w:rsidP="00844132">
      <w:pPr>
        <w:pStyle w:val="Hesber1st"/>
        <w:tabs>
          <w:tab w:val="left" w:pos="2551"/>
        </w:tabs>
        <w:rPr>
          <w:rtl/>
        </w:rPr>
      </w:pPr>
    </w:p>
    <w:p w14:paraId="1722303C" w14:textId="15FCBBD0" w:rsidR="00736D67" w:rsidRDefault="00736D67" w:rsidP="00844132">
      <w:pPr>
        <w:pStyle w:val="Hesber1st"/>
        <w:tabs>
          <w:tab w:val="left" w:pos="2551"/>
        </w:tabs>
        <w:rPr>
          <w:rtl/>
        </w:rPr>
      </w:pPr>
      <w:r>
        <w:rPr>
          <w:rFonts w:hint="cs"/>
          <w:rtl/>
        </w:rPr>
        <w:t xml:space="preserve">מוצע לקבוע חובת דיווח גם </w:t>
      </w:r>
      <w:r w:rsidR="001D51B8">
        <w:rPr>
          <w:rFonts w:hint="cs"/>
          <w:rtl/>
        </w:rPr>
        <w:t xml:space="preserve">לאדם שמסר הודעה בהתאם להוראות סעיף 134(ב)(1), </w:t>
      </w:r>
      <w:r w:rsidR="00844132">
        <w:rPr>
          <w:rFonts w:hint="cs"/>
          <w:rtl/>
        </w:rPr>
        <w:t>לג</w:t>
      </w:r>
      <w:r w:rsidR="00AA2F20">
        <w:rPr>
          <w:rFonts w:hint="cs"/>
          <w:rtl/>
        </w:rPr>
        <w:t xml:space="preserve">בי </w:t>
      </w:r>
      <w:r>
        <w:rPr>
          <w:rFonts w:hint="cs"/>
          <w:rtl/>
        </w:rPr>
        <w:t xml:space="preserve">חודשים </w:t>
      </w:r>
      <w:r w:rsidR="00AA2F20">
        <w:rPr>
          <w:rFonts w:hint="cs"/>
          <w:rtl/>
        </w:rPr>
        <w:t>ש</w:t>
      </w:r>
      <w:r>
        <w:rPr>
          <w:rFonts w:hint="cs"/>
          <w:rtl/>
        </w:rPr>
        <w:t xml:space="preserve">בהם אין פעילות במערך הניכויים וזאת על מנת ליצור רצף של דיווחים, שיסייע לפקיד השומה לקבל תמונה מדויקת יותר על פעילות הנישום, יקטין את החיכוך וימנע פעולות אכיפה המתבססות על מידע חלקי. </w:t>
      </w:r>
    </w:p>
    <w:p w14:paraId="15A132A9" w14:textId="271C8A13" w:rsidR="00736D67" w:rsidRDefault="00736D67" w:rsidP="002531EB">
      <w:pPr>
        <w:pStyle w:val="Hesber1st"/>
        <w:tabs>
          <w:tab w:val="left" w:pos="2551"/>
        </w:tabs>
        <w:spacing w:before="240"/>
        <w:rPr>
          <w:rtl/>
        </w:rPr>
      </w:pPr>
      <w:r>
        <w:rPr>
          <w:rFonts w:hint="cs"/>
          <w:rtl/>
        </w:rPr>
        <w:t>כמו כן, מוצע לקבוע כי הדוחות התקופתיים יוגשו באופן מקוון, בהתאם להוראות שיקבעו בתקנות, וזאת בדומה לדוחות השנתיים המוגשים באופן מקוון מכוח הפקודה (הן במערך הניכויים והן במערך השומה) ולדוחות המוגשים באופן מקוון מכוח חוק מס ערך מוסף, התשל"ו</w:t>
      </w:r>
      <w:r w:rsidR="002531EB">
        <w:rPr>
          <w:rFonts w:hint="cs"/>
          <w:rtl/>
        </w:rPr>
        <w:t>-</w:t>
      </w:r>
      <w:r>
        <w:rPr>
          <w:rFonts w:hint="cs"/>
          <w:rtl/>
        </w:rPr>
        <w:t xml:space="preserve">1975 (להלן </w:t>
      </w:r>
      <w:r>
        <w:rPr>
          <w:rtl/>
        </w:rPr>
        <w:t>–</w:t>
      </w:r>
      <w:r>
        <w:rPr>
          <w:rFonts w:hint="cs"/>
          <w:rtl/>
        </w:rPr>
        <w:t xml:space="preserve"> חוק מס ערך מוסף). </w:t>
      </w:r>
    </w:p>
    <w:p w14:paraId="7CF2CA26" w14:textId="77777777" w:rsidR="006617BE" w:rsidRDefault="006617BE" w:rsidP="005F1C56">
      <w:pPr>
        <w:pStyle w:val="Hesber1st"/>
        <w:tabs>
          <w:tab w:val="left" w:pos="2551"/>
        </w:tabs>
        <w:rPr>
          <w:rtl/>
        </w:rPr>
      </w:pPr>
    </w:p>
    <w:p w14:paraId="67F25177" w14:textId="53CA2DB3" w:rsidR="005F1C56" w:rsidRPr="005F1C56" w:rsidRDefault="00D41C8E" w:rsidP="005F1C56">
      <w:pPr>
        <w:pStyle w:val="Hesber1st"/>
        <w:tabs>
          <w:tab w:val="left" w:pos="2551"/>
        </w:tabs>
        <w:rPr>
          <w:b/>
          <w:bCs/>
          <w:rtl/>
        </w:rPr>
      </w:pPr>
      <w:r w:rsidRPr="00307ED2">
        <w:rPr>
          <w:rtl/>
        </w:rPr>
        <w:t xml:space="preserve"> </w:t>
      </w:r>
      <w:r w:rsidR="00275CFF">
        <w:rPr>
          <w:rFonts w:hint="cs"/>
          <w:b/>
          <w:bCs/>
          <w:rtl/>
        </w:rPr>
        <w:t>ל</w:t>
      </w:r>
      <w:r w:rsidR="005F1C56" w:rsidRPr="00307ED2">
        <w:rPr>
          <w:rFonts w:hint="cs"/>
          <w:b/>
          <w:bCs/>
          <w:rtl/>
        </w:rPr>
        <w:t xml:space="preserve">סעיף </w:t>
      </w:r>
      <w:r w:rsidR="005F1C56">
        <w:rPr>
          <w:rFonts w:hint="cs"/>
          <w:b/>
          <w:bCs/>
          <w:rtl/>
        </w:rPr>
        <w:t>3</w:t>
      </w:r>
      <w:r w:rsidR="0033192E">
        <w:rPr>
          <w:rFonts w:hint="cs"/>
          <w:b/>
          <w:bCs/>
          <w:rtl/>
        </w:rPr>
        <w:t xml:space="preserve"> -</w:t>
      </w:r>
    </w:p>
    <w:p w14:paraId="562C4102" w14:textId="2234950A" w:rsidR="005F1C56" w:rsidRDefault="005F1C56" w:rsidP="00844132">
      <w:pPr>
        <w:pStyle w:val="Hesber"/>
        <w:tabs>
          <w:tab w:val="left" w:pos="1832"/>
        </w:tabs>
        <w:ind w:firstLine="0"/>
      </w:pPr>
      <w:r>
        <w:rPr>
          <w:rFonts w:hint="cs"/>
          <w:rtl/>
        </w:rPr>
        <w:t>מוצע לאמץ את המנגנון של קביעת מס הקבוע בסעיף 76 לחוק מס ערך מוסף</w:t>
      </w:r>
      <w:r w:rsidR="00275CFF">
        <w:rPr>
          <w:rFonts w:hint="cs"/>
          <w:rtl/>
        </w:rPr>
        <w:t xml:space="preserve">, </w:t>
      </w:r>
      <w:r>
        <w:rPr>
          <w:rFonts w:hint="cs"/>
          <w:rtl/>
        </w:rPr>
        <w:t xml:space="preserve">לעניין מערך הניכויים והגשת דוחות תקופתיים </w:t>
      </w:r>
      <w:r w:rsidR="00844132">
        <w:rPr>
          <w:rFonts w:hint="cs"/>
          <w:rtl/>
        </w:rPr>
        <w:t>ש</w:t>
      </w:r>
      <w:r>
        <w:rPr>
          <w:rFonts w:hint="cs"/>
          <w:rtl/>
        </w:rPr>
        <w:t xml:space="preserve">לפיו תינתן לפקיד השומה סמכות לקבוע את סכום המס לאדם שלא הגיש דוח תקופתי במועד שנקבע. </w:t>
      </w:r>
      <w:r w:rsidR="001637D4">
        <w:rPr>
          <w:rFonts w:hint="cs"/>
          <w:rtl/>
        </w:rPr>
        <w:t>כמו כן</w:t>
      </w:r>
      <w:r>
        <w:rPr>
          <w:rFonts w:hint="cs"/>
          <w:rtl/>
        </w:rPr>
        <w:t xml:space="preserve">, מוצע לאפשר לאדם שסבור כי הוראות סעיף 134(ב)(1) לא חלות עליו (כלומר אדם שסבור כי הוראות סעיפים 164, 166, </w:t>
      </w:r>
      <w:r>
        <w:rPr>
          <w:rFonts w:hint="cs"/>
          <w:rtl/>
        </w:rPr>
        <w:lastRenderedPageBreak/>
        <w:t>170 או 181ב</w:t>
      </w:r>
      <w:r w:rsidR="001637D4">
        <w:rPr>
          <w:rFonts w:hint="cs"/>
          <w:rtl/>
        </w:rPr>
        <w:t>, לפי הענ</w:t>
      </w:r>
      <w:r w:rsidR="0033192E">
        <w:rPr>
          <w:rFonts w:hint="cs"/>
          <w:rtl/>
        </w:rPr>
        <w:t>י</w:t>
      </w:r>
      <w:r w:rsidR="001637D4">
        <w:rPr>
          <w:rFonts w:hint="cs"/>
          <w:rtl/>
        </w:rPr>
        <w:t>ין</w:t>
      </w:r>
      <w:r>
        <w:rPr>
          <w:rFonts w:hint="cs"/>
          <w:rtl/>
        </w:rPr>
        <w:t xml:space="preserve"> לא חלות עליו), לערער על </w:t>
      </w:r>
      <w:r w:rsidR="00275CFF">
        <w:rPr>
          <w:rFonts w:hint="cs"/>
          <w:rtl/>
        </w:rPr>
        <w:t>ה</w:t>
      </w:r>
      <w:r>
        <w:rPr>
          <w:rFonts w:hint="cs"/>
          <w:rtl/>
        </w:rPr>
        <w:t>קביע</w:t>
      </w:r>
      <w:r w:rsidR="00275CFF">
        <w:rPr>
          <w:rFonts w:hint="cs"/>
          <w:rtl/>
        </w:rPr>
        <w:t>ה</w:t>
      </w:r>
      <w:r>
        <w:rPr>
          <w:rFonts w:hint="cs"/>
          <w:rtl/>
        </w:rPr>
        <w:t xml:space="preserve"> לביהמ"ש בהתאם להוראות סעיף 153 </w:t>
      </w:r>
      <w:r w:rsidR="001637D4">
        <w:rPr>
          <w:rFonts w:hint="cs"/>
          <w:rtl/>
        </w:rPr>
        <w:t>לפקודה.</w:t>
      </w:r>
    </w:p>
    <w:p w14:paraId="3837CD1B" w14:textId="21A325AE" w:rsidR="005F1C56" w:rsidRDefault="00275CFF" w:rsidP="005F1C56">
      <w:pPr>
        <w:pStyle w:val="Hesber"/>
        <w:ind w:firstLine="0"/>
        <w:rPr>
          <w:rtl/>
        </w:rPr>
      </w:pPr>
      <w:r>
        <w:rPr>
          <w:rFonts w:hint="cs"/>
          <w:b/>
          <w:bCs/>
          <w:rtl/>
        </w:rPr>
        <w:t>ל</w:t>
      </w:r>
      <w:r w:rsidR="00591BEF" w:rsidRPr="00307ED2">
        <w:rPr>
          <w:rFonts w:hint="cs"/>
          <w:b/>
          <w:bCs/>
          <w:rtl/>
        </w:rPr>
        <w:t xml:space="preserve">סעיף </w:t>
      </w:r>
      <w:r w:rsidR="00EF1CC5" w:rsidRPr="00307ED2">
        <w:rPr>
          <w:rFonts w:hint="cs"/>
          <w:b/>
          <w:bCs/>
          <w:rtl/>
        </w:rPr>
        <w:t>4</w:t>
      </w:r>
      <w:r w:rsidR="0033192E">
        <w:rPr>
          <w:rFonts w:hint="cs"/>
          <w:rtl/>
        </w:rPr>
        <w:t xml:space="preserve"> -</w:t>
      </w:r>
    </w:p>
    <w:p w14:paraId="4FC44C11" w14:textId="18372631" w:rsidR="005F1C56" w:rsidRDefault="001637D4" w:rsidP="006617BE">
      <w:pPr>
        <w:pStyle w:val="Hesber"/>
        <w:ind w:firstLine="0"/>
        <w:rPr>
          <w:rtl/>
        </w:rPr>
      </w:pPr>
      <w:r>
        <w:rPr>
          <w:rFonts w:hint="cs"/>
          <w:rtl/>
        </w:rPr>
        <w:t xml:space="preserve">סעיף 170 לפקודה קובע חובת ניכוי מס מהכנסה שמשלם אדם לתושב חוץ, בהתאם לקבוע בסעיף. </w:t>
      </w:r>
      <w:r w:rsidR="005F1C56">
        <w:rPr>
          <w:rFonts w:hint="cs"/>
          <w:rtl/>
        </w:rPr>
        <w:t xml:space="preserve">סעיף 171 לפקודה קובע כי </w:t>
      </w:r>
      <w:r>
        <w:rPr>
          <w:rFonts w:hint="cs"/>
          <w:rtl/>
        </w:rPr>
        <w:t xml:space="preserve"> אם ניכה אדם מס לפי סעיף 170(א) לפקודה, חייב הוא לשלם לפקיד השומה, תוך שבע</w:t>
      </w:r>
      <w:r w:rsidR="00275CFF">
        <w:rPr>
          <w:rFonts w:hint="cs"/>
          <w:rtl/>
        </w:rPr>
        <w:t>ה</w:t>
      </w:r>
      <w:r>
        <w:rPr>
          <w:rFonts w:hint="cs"/>
          <w:rtl/>
        </w:rPr>
        <w:t xml:space="preserve"> ימים מיום שניכה את סכום המס</w:t>
      </w:r>
      <w:r w:rsidR="006617BE">
        <w:rPr>
          <w:rFonts w:hint="cs"/>
          <w:rtl/>
        </w:rPr>
        <w:t>,</w:t>
      </w:r>
      <w:r>
        <w:rPr>
          <w:rFonts w:hint="cs"/>
          <w:rtl/>
        </w:rPr>
        <w:t xml:space="preserve"> </w:t>
      </w:r>
      <w:r w:rsidR="005F1C56">
        <w:rPr>
          <w:rFonts w:hint="cs"/>
          <w:rtl/>
        </w:rPr>
        <w:t>זאת בצירוף דוח המפרט את פרטיו של האדם אשר לו או בשבילו שולמה ההכנסה. על מנת ליצור אחידות במועדי הדיווח</w:t>
      </w:r>
      <w:r w:rsidR="006617BE">
        <w:rPr>
          <w:rFonts w:hint="cs"/>
          <w:rtl/>
        </w:rPr>
        <w:t xml:space="preserve">, </w:t>
      </w:r>
      <w:r w:rsidR="005F1C56">
        <w:rPr>
          <w:rFonts w:hint="cs"/>
          <w:rtl/>
        </w:rPr>
        <w:t>מוצע לתקן את הסעיף באופן שלא יחייב הגשת דו</w:t>
      </w:r>
      <w:r w:rsidR="006617BE">
        <w:rPr>
          <w:rFonts w:hint="cs"/>
          <w:rtl/>
        </w:rPr>
        <w:t>"</w:t>
      </w:r>
      <w:r w:rsidR="005F1C56">
        <w:rPr>
          <w:rFonts w:hint="cs"/>
          <w:rtl/>
        </w:rPr>
        <w:t xml:space="preserve">ח ותשלום כאמור בתוך שבעה ימים, אלא במסגרת הדיווח התקופתי </w:t>
      </w:r>
      <w:r>
        <w:rPr>
          <w:rFonts w:hint="cs"/>
          <w:rtl/>
        </w:rPr>
        <w:t>שהמנכה חייב להגיש.</w:t>
      </w:r>
    </w:p>
    <w:p w14:paraId="38A6F80D" w14:textId="77777777" w:rsidR="005F1C56" w:rsidRDefault="005F1C56" w:rsidP="005F1C56">
      <w:pPr>
        <w:pStyle w:val="Hesber"/>
        <w:ind w:firstLine="0"/>
        <w:rPr>
          <w:rtl/>
        </w:rPr>
      </w:pPr>
    </w:p>
    <w:p w14:paraId="7886D652" w14:textId="5087A080" w:rsidR="00871410" w:rsidRPr="00307ED2" w:rsidRDefault="00275CFF" w:rsidP="005F1C56">
      <w:pPr>
        <w:pStyle w:val="Hesber"/>
        <w:ind w:firstLine="0"/>
        <w:rPr>
          <w:rtl/>
        </w:rPr>
      </w:pPr>
      <w:r>
        <w:rPr>
          <w:rFonts w:hint="cs"/>
          <w:b/>
          <w:bCs/>
          <w:rtl/>
        </w:rPr>
        <w:t>ל</w:t>
      </w:r>
      <w:r w:rsidR="00D41C8E" w:rsidRPr="00307ED2">
        <w:rPr>
          <w:rFonts w:hint="eastAsia"/>
          <w:b/>
          <w:bCs/>
          <w:rtl/>
        </w:rPr>
        <w:t>סעיף</w:t>
      </w:r>
      <w:r w:rsidR="00D41C8E" w:rsidRPr="00307ED2">
        <w:rPr>
          <w:b/>
          <w:bCs/>
          <w:rtl/>
        </w:rPr>
        <w:t xml:space="preserve"> 5</w:t>
      </w:r>
      <w:r w:rsidR="0033192E">
        <w:rPr>
          <w:rFonts w:hint="cs"/>
          <w:rtl/>
        </w:rPr>
        <w:t xml:space="preserve"> -</w:t>
      </w:r>
    </w:p>
    <w:p w14:paraId="67D9128E" w14:textId="45E2DA17" w:rsidR="00591BEF" w:rsidRDefault="0033192E" w:rsidP="00844132">
      <w:pPr>
        <w:pStyle w:val="Hesber"/>
        <w:ind w:firstLine="0"/>
        <w:rPr>
          <w:rtl/>
        </w:rPr>
      </w:pPr>
      <w:r>
        <w:rPr>
          <w:rFonts w:hint="cs"/>
          <w:rtl/>
        </w:rPr>
        <w:t xml:space="preserve">מוצע </w:t>
      </w:r>
      <w:r w:rsidR="00B653A6">
        <w:rPr>
          <w:rFonts w:hint="cs"/>
          <w:rtl/>
        </w:rPr>
        <w:t xml:space="preserve">לחייב אדם שמסר הודעה כאמור בסעיף 134(ב)(1) </w:t>
      </w:r>
      <w:r w:rsidR="00765546">
        <w:rPr>
          <w:rFonts w:hint="cs"/>
          <w:rtl/>
        </w:rPr>
        <w:t xml:space="preserve">לפקודה </w:t>
      </w:r>
      <w:r w:rsidR="00B653A6">
        <w:rPr>
          <w:rFonts w:hint="cs"/>
          <w:rtl/>
        </w:rPr>
        <w:t xml:space="preserve">להגיש דוח תקופתי גם </w:t>
      </w:r>
      <w:r w:rsidR="00765546">
        <w:rPr>
          <w:rFonts w:hint="cs"/>
          <w:rtl/>
        </w:rPr>
        <w:t xml:space="preserve"> לגבי </w:t>
      </w:r>
      <w:r w:rsidR="00B653A6">
        <w:rPr>
          <w:rFonts w:hint="cs"/>
          <w:rtl/>
        </w:rPr>
        <w:t>מקדמה בשל הוצאות עודפות</w:t>
      </w:r>
      <w:r w:rsidR="00765546">
        <w:rPr>
          <w:rFonts w:hint="cs"/>
          <w:rtl/>
        </w:rPr>
        <w:t>,</w:t>
      </w:r>
      <w:r w:rsidR="00B653A6">
        <w:rPr>
          <w:rFonts w:hint="cs"/>
          <w:rtl/>
        </w:rPr>
        <w:t xml:space="preserve"> </w:t>
      </w:r>
      <w:r w:rsidR="00765546">
        <w:rPr>
          <w:rFonts w:hint="cs"/>
          <w:rtl/>
        </w:rPr>
        <w:t>כך שהמועד להגשת הדיווחים יהיה מועד אחיד</w:t>
      </w:r>
      <w:r w:rsidR="006617BE">
        <w:rPr>
          <w:rFonts w:hint="cs"/>
          <w:rtl/>
        </w:rPr>
        <w:t xml:space="preserve"> </w:t>
      </w:r>
      <w:r w:rsidR="00765546">
        <w:rPr>
          <w:rFonts w:hint="cs"/>
          <w:rtl/>
        </w:rPr>
        <w:t>- המ</w:t>
      </w:r>
      <w:r>
        <w:rPr>
          <w:rFonts w:hint="cs"/>
          <w:rtl/>
        </w:rPr>
        <w:t>ו</w:t>
      </w:r>
      <w:r w:rsidR="00765546">
        <w:rPr>
          <w:rFonts w:hint="cs"/>
          <w:rtl/>
        </w:rPr>
        <w:t>עד להגשת הדיווח התקופתי.</w:t>
      </w:r>
    </w:p>
    <w:p w14:paraId="0DA9BAB7" w14:textId="77777777" w:rsidR="00B653A6" w:rsidRDefault="00B653A6" w:rsidP="00B653A6">
      <w:pPr>
        <w:pStyle w:val="Hesber"/>
        <w:ind w:firstLine="0"/>
        <w:rPr>
          <w:rtl/>
        </w:rPr>
      </w:pPr>
    </w:p>
    <w:p w14:paraId="436CABE3" w14:textId="4FE35E07" w:rsidR="00B653A6" w:rsidRDefault="00275CFF" w:rsidP="00B653A6">
      <w:pPr>
        <w:pStyle w:val="Hesber"/>
        <w:ind w:firstLine="0"/>
        <w:rPr>
          <w:b/>
          <w:bCs/>
          <w:rtl/>
        </w:rPr>
      </w:pPr>
      <w:r>
        <w:rPr>
          <w:rFonts w:hint="cs"/>
          <w:b/>
          <w:bCs/>
          <w:rtl/>
        </w:rPr>
        <w:t>ל</w:t>
      </w:r>
      <w:r w:rsidR="00B653A6" w:rsidRPr="00B653A6">
        <w:rPr>
          <w:rFonts w:hint="cs"/>
          <w:b/>
          <w:bCs/>
          <w:rtl/>
        </w:rPr>
        <w:t xml:space="preserve">סעיף </w:t>
      </w:r>
      <w:r w:rsidR="0033192E">
        <w:rPr>
          <w:rFonts w:hint="cs"/>
          <w:b/>
          <w:bCs/>
          <w:rtl/>
        </w:rPr>
        <w:t xml:space="preserve"> </w:t>
      </w:r>
      <w:r w:rsidR="00B653A6" w:rsidRPr="00B653A6">
        <w:rPr>
          <w:rFonts w:hint="cs"/>
          <w:b/>
          <w:bCs/>
          <w:rtl/>
        </w:rPr>
        <w:t>6</w:t>
      </w:r>
      <w:r w:rsidR="0033192E">
        <w:rPr>
          <w:rFonts w:hint="cs"/>
          <w:b/>
          <w:bCs/>
          <w:rtl/>
        </w:rPr>
        <w:t xml:space="preserve"> -</w:t>
      </w:r>
    </w:p>
    <w:p w14:paraId="3B0B0027" w14:textId="4DD00760" w:rsidR="00B653A6" w:rsidRDefault="00B653A6" w:rsidP="006617BE">
      <w:pPr>
        <w:pStyle w:val="Hesber"/>
        <w:ind w:firstLine="0"/>
        <w:rPr>
          <w:rtl/>
        </w:rPr>
      </w:pPr>
      <w:r>
        <w:rPr>
          <w:rFonts w:hint="cs"/>
          <w:rtl/>
        </w:rPr>
        <w:t xml:space="preserve">בהתאם להוראות סעיף 187(ג)(1) </w:t>
      </w:r>
      <w:r w:rsidR="00765546">
        <w:rPr>
          <w:rFonts w:hint="cs"/>
          <w:rtl/>
        </w:rPr>
        <w:t xml:space="preserve">לפקודה </w:t>
      </w:r>
      <w:r>
        <w:rPr>
          <w:rFonts w:hint="cs"/>
          <w:rtl/>
        </w:rPr>
        <w:t>על סכומי מס ש</w:t>
      </w:r>
      <w:r w:rsidR="006617BE">
        <w:rPr>
          <w:rFonts w:hint="cs"/>
          <w:rtl/>
        </w:rPr>
        <w:t xml:space="preserve">לא </w:t>
      </w:r>
      <w:r>
        <w:rPr>
          <w:rFonts w:hint="cs"/>
          <w:rtl/>
        </w:rPr>
        <w:t xml:space="preserve">נוכו או </w:t>
      </w:r>
      <w:r w:rsidR="00765546">
        <w:rPr>
          <w:rFonts w:hint="cs"/>
          <w:rtl/>
        </w:rPr>
        <w:t>ש</w:t>
      </w:r>
      <w:r>
        <w:rPr>
          <w:rFonts w:hint="cs"/>
          <w:rtl/>
        </w:rPr>
        <w:t xml:space="preserve">נוכו </w:t>
      </w:r>
      <w:r w:rsidR="0033192E">
        <w:rPr>
          <w:rFonts w:hint="cs"/>
          <w:rtl/>
        </w:rPr>
        <w:t>ולא הועברו במועד לפקיד השומה, י</w:t>
      </w:r>
      <w:r>
        <w:rPr>
          <w:rFonts w:hint="cs"/>
          <w:rtl/>
        </w:rPr>
        <w:t>ו</w:t>
      </w:r>
      <w:r w:rsidR="0033192E">
        <w:rPr>
          <w:rFonts w:hint="cs"/>
          <w:rtl/>
        </w:rPr>
        <w:t>ו</w:t>
      </w:r>
      <w:r>
        <w:rPr>
          <w:rFonts w:hint="cs"/>
          <w:rtl/>
        </w:rPr>
        <w:t xml:space="preserve">ספו הפרשי הצמדה וריבית מהיום ה- 14 </w:t>
      </w:r>
      <w:r w:rsidR="006617BE">
        <w:rPr>
          <w:rFonts w:hint="cs"/>
          <w:rtl/>
        </w:rPr>
        <w:t>ב</w:t>
      </w:r>
      <w:r>
        <w:rPr>
          <w:rFonts w:hint="cs"/>
          <w:rtl/>
        </w:rPr>
        <w:t xml:space="preserve">חודש </w:t>
      </w:r>
      <w:r w:rsidR="00765546">
        <w:rPr>
          <w:rFonts w:hint="cs"/>
          <w:rtl/>
        </w:rPr>
        <w:t>ש</w:t>
      </w:r>
      <w:r>
        <w:rPr>
          <w:rFonts w:hint="cs"/>
          <w:rtl/>
        </w:rPr>
        <w:t xml:space="preserve">בו היה המס אמור להשתלם לפקיד השומה ועד מועד התשלום בפועל. </w:t>
      </w:r>
    </w:p>
    <w:p w14:paraId="42E668DC" w14:textId="77777777" w:rsidR="006617BE" w:rsidRDefault="006617BE" w:rsidP="006617BE">
      <w:pPr>
        <w:pStyle w:val="Hesber"/>
        <w:ind w:firstLine="0"/>
        <w:rPr>
          <w:rtl/>
        </w:rPr>
      </w:pPr>
    </w:p>
    <w:p w14:paraId="3011A618" w14:textId="0DA2F540" w:rsidR="00B653A6" w:rsidRDefault="00B653A6" w:rsidP="00765546">
      <w:pPr>
        <w:pStyle w:val="Hesber"/>
        <w:ind w:firstLine="0"/>
        <w:rPr>
          <w:rtl/>
        </w:rPr>
      </w:pPr>
      <w:r>
        <w:rPr>
          <w:rFonts w:hint="cs"/>
          <w:rtl/>
        </w:rPr>
        <w:t>מדד המחירים לצרכן שמפרסמת הלשכה המרכזית לסטטיסטיקה</w:t>
      </w:r>
      <w:r w:rsidR="00275CFF">
        <w:rPr>
          <w:rFonts w:hint="cs"/>
          <w:rtl/>
        </w:rPr>
        <w:t xml:space="preserve"> </w:t>
      </w:r>
      <w:r>
        <w:rPr>
          <w:rFonts w:hint="cs"/>
          <w:rtl/>
        </w:rPr>
        <w:t xml:space="preserve">משמש לצורך מידוד הסכום בסעיף האמור, ומתפרסם ב- 15 </w:t>
      </w:r>
      <w:r w:rsidR="00765546">
        <w:rPr>
          <w:rFonts w:hint="cs"/>
          <w:rtl/>
        </w:rPr>
        <w:t>ב</w:t>
      </w:r>
      <w:r>
        <w:rPr>
          <w:rFonts w:hint="cs"/>
          <w:rtl/>
        </w:rPr>
        <w:t xml:space="preserve">כל חודש. בהתאם לתקנות שהותקנו מכוח הפקודה, מועד העברת התשלום והגשת הדוח בגין סכומי המס שנוכו לפקיד השומה הינו גם הוא ב- 15 </w:t>
      </w:r>
      <w:r w:rsidR="00765546">
        <w:rPr>
          <w:rFonts w:hint="cs"/>
          <w:rtl/>
        </w:rPr>
        <w:t>ב</w:t>
      </w:r>
      <w:r>
        <w:rPr>
          <w:rFonts w:hint="cs"/>
          <w:rtl/>
        </w:rPr>
        <w:t xml:space="preserve">חודש. הפועל היוצא של הדברים הינו שבמידה והמנכה מאחר בתשלום, ולו ביום אחד בלבד, הרי שהמדד שמפורסם ב- 15 </w:t>
      </w:r>
      <w:r w:rsidR="00765546">
        <w:rPr>
          <w:rFonts w:hint="cs"/>
          <w:rtl/>
        </w:rPr>
        <w:t>ב</w:t>
      </w:r>
      <w:r>
        <w:rPr>
          <w:rFonts w:hint="cs"/>
          <w:rtl/>
        </w:rPr>
        <w:t xml:space="preserve">חודש יילקח גם הוא בחשבון בקביעת סכום הפרשי ההצמדה שיווסף לסכום המס שעל המנכה לשלם. </w:t>
      </w:r>
    </w:p>
    <w:p w14:paraId="3FA74907" w14:textId="77777777" w:rsidR="006617BE" w:rsidRDefault="006617BE" w:rsidP="00765546">
      <w:pPr>
        <w:pStyle w:val="Hesber"/>
        <w:ind w:firstLine="0"/>
        <w:rPr>
          <w:rtl/>
        </w:rPr>
      </w:pPr>
    </w:p>
    <w:p w14:paraId="301DBCF6" w14:textId="77777777" w:rsidR="00B653A6" w:rsidRDefault="00B653A6" w:rsidP="00B653A6">
      <w:pPr>
        <w:pStyle w:val="Hesber"/>
        <w:ind w:firstLine="0"/>
        <w:rPr>
          <w:rtl/>
        </w:rPr>
      </w:pPr>
      <w:r>
        <w:rPr>
          <w:rFonts w:hint="cs"/>
          <w:rtl/>
        </w:rPr>
        <w:t>לפיכך</w:t>
      </w:r>
      <w:r>
        <w:t xml:space="preserve"> </w:t>
      </w:r>
      <w:r>
        <w:rPr>
          <w:rFonts w:hint="cs"/>
          <w:rtl/>
        </w:rPr>
        <w:t>מוצע לדחות את מועד התשלום ליום אחד לאחר פרסום המדד, קרי דחיה של יומיים, מה- 14 בכל חודש ל- 16 בכל חודש.</w:t>
      </w:r>
    </w:p>
    <w:p w14:paraId="7FE705D3" w14:textId="77777777" w:rsidR="00B653A6" w:rsidRDefault="00B653A6" w:rsidP="00B653A6">
      <w:pPr>
        <w:pStyle w:val="Hesber"/>
        <w:ind w:firstLine="0"/>
        <w:rPr>
          <w:rtl/>
        </w:rPr>
      </w:pPr>
    </w:p>
    <w:p w14:paraId="5CD77566" w14:textId="77777777" w:rsidR="00B653A6" w:rsidRPr="00B653A6" w:rsidRDefault="00275CFF" w:rsidP="00B653A6">
      <w:pPr>
        <w:pStyle w:val="Hesber"/>
        <w:ind w:firstLine="0"/>
        <w:rPr>
          <w:b/>
          <w:bCs/>
          <w:rtl/>
        </w:rPr>
      </w:pPr>
      <w:r>
        <w:rPr>
          <w:rFonts w:hint="cs"/>
          <w:b/>
          <w:bCs/>
          <w:rtl/>
        </w:rPr>
        <w:t>ל</w:t>
      </w:r>
      <w:r w:rsidR="00B653A6" w:rsidRPr="00B653A6">
        <w:rPr>
          <w:rFonts w:hint="cs"/>
          <w:b/>
          <w:bCs/>
          <w:rtl/>
        </w:rPr>
        <w:t>סעיף 7</w:t>
      </w:r>
      <w:r w:rsidR="002841EB">
        <w:rPr>
          <w:rFonts w:hint="cs"/>
          <w:b/>
          <w:bCs/>
          <w:rtl/>
        </w:rPr>
        <w:t>-</w:t>
      </w:r>
    </w:p>
    <w:p w14:paraId="50BFACBC" w14:textId="768C702A" w:rsidR="00B653A6" w:rsidRDefault="00B653A6" w:rsidP="00D03D65">
      <w:pPr>
        <w:pStyle w:val="Hesber"/>
        <w:ind w:firstLine="0"/>
        <w:rPr>
          <w:rtl/>
        </w:rPr>
      </w:pPr>
      <w:r w:rsidRPr="00B653A6">
        <w:rPr>
          <w:rFonts w:hint="cs"/>
          <w:b/>
          <w:bCs/>
          <w:rtl/>
        </w:rPr>
        <w:t>לסעיף קטן (א)</w:t>
      </w:r>
      <w:r w:rsidRPr="00B653A6">
        <w:rPr>
          <w:rFonts w:hint="cs"/>
          <w:rtl/>
        </w:rPr>
        <w:t xml:space="preserve"> </w:t>
      </w:r>
      <w:bookmarkStart w:id="1" w:name="_Hlk484689794"/>
      <w:r w:rsidRPr="00B653A6">
        <w:rPr>
          <w:b/>
          <w:bCs/>
          <w:rtl/>
        </w:rPr>
        <w:t>–</w:t>
      </w:r>
      <w:bookmarkEnd w:id="1"/>
      <w:r w:rsidRPr="00B653A6">
        <w:rPr>
          <w:rFonts w:hint="cs"/>
          <w:rtl/>
        </w:rPr>
        <w:t xml:space="preserve"> </w:t>
      </w:r>
      <w:r>
        <w:rPr>
          <w:rFonts w:hint="cs"/>
          <w:rtl/>
        </w:rPr>
        <w:t xml:space="preserve">סעיף 188(ג) </w:t>
      </w:r>
      <w:r w:rsidR="00765546">
        <w:rPr>
          <w:rFonts w:hint="cs"/>
          <w:rtl/>
        </w:rPr>
        <w:t xml:space="preserve">לפקודה </w:t>
      </w:r>
      <w:r>
        <w:rPr>
          <w:rFonts w:hint="cs"/>
          <w:rtl/>
        </w:rPr>
        <w:t>עוסק בקנסות על אי הגשת דוחות בהתאם לסעיפים 161 ו</w:t>
      </w:r>
      <w:r w:rsidR="006617BE">
        <w:rPr>
          <w:rFonts w:hint="cs"/>
          <w:rtl/>
        </w:rPr>
        <w:t>עד</w:t>
      </w:r>
      <w:r>
        <w:rPr>
          <w:rFonts w:hint="cs"/>
          <w:rtl/>
        </w:rPr>
        <w:t xml:space="preserve"> 171. סעיף 161 לפקודה בוטל. מוצע לבטל את הסעיף, ולכלול את הקנס </w:t>
      </w:r>
      <w:r w:rsidR="00765546">
        <w:rPr>
          <w:rFonts w:hint="cs"/>
          <w:rtl/>
        </w:rPr>
        <w:t xml:space="preserve">לגבי אי הגשת דו"ח לפי </w:t>
      </w:r>
      <w:r>
        <w:rPr>
          <w:rFonts w:hint="cs"/>
          <w:rtl/>
        </w:rPr>
        <w:t xml:space="preserve">סעיף 171 </w:t>
      </w:r>
      <w:r w:rsidR="00765546">
        <w:rPr>
          <w:rFonts w:hint="cs"/>
          <w:rtl/>
        </w:rPr>
        <w:t xml:space="preserve">לפקודה </w:t>
      </w:r>
      <w:r>
        <w:rPr>
          <w:rFonts w:hint="cs"/>
          <w:rtl/>
        </w:rPr>
        <w:t>במסגרת סעיף קטן (ד)</w:t>
      </w:r>
      <w:r w:rsidR="006617BE">
        <w:rPr>
          <w:rFonts w:hint="cs"/>
          <w:rtl/>
        </w:rPr>
        <w:t>,</w:t>
      </w:r>
      <w:r>
        <w:rPr>
          <w:rFonts w:hint="cs"/>
          <w:rtl/>
        </w:rPr>
        <w:t xml:space="preserve"> </w:t>
      </w:r>
      <w:r w:rsidR="00275CFF">
        <w:rPr>
          <w:rFonts w:hint="cs"/>
          <w:rtl/>
        </w:rPr>
        <w:t xml:space="preserve">הקובע את </w:t>
      </w:r>
      <w:r w:rsidR="00765546">
        <w:rPr>
          <w:rFonts w:hint="cs"/>
          <w:rtl/>
        </w:rPr>
        <w:t xml:space="preserve">הענישה </w:t>
      </w:r>
      <w:r w:rsidR="00E61E2F">
        <w:rPr>
          <w:rFonts w:hint="cs"/>
          <w:rtl/>
        </w:rPr>
        <w:t>לגבי</w:t>
      </w:r>
      <w:r w:rsidR="00765546">
        <w:rPr>
          <w:rFonts w:hint="cs"/>
          <w:rtl/>
        </w:rPr>
        <w:t xml:space="preserve"> הגשת דו"חות</w:t>
      </w:r>
      <w:r w:rsidR="00E61E2F">
        <w:rPr>
          <w:rFonts w:hint="cs"/>
          <w:rtl/>
        </w:rPr>
        <w:t xml:space="preserve"> שיש להגישם לפי הוראות אחרות של </w:t>
      </w:r>
      <w:r w:rsidR="006617BE">
        <w:rPr>
          <w:rFonts w:hint="cs"/>
          <w:rtl/>
        </w:rPr>
        <w:t xml:space="preserve">חובות </w:t>
      </w:r>
      <w:r w:rsidR="00E61E2F">
        <w:rPr>
          <w:rFonts w:hint="cs"/>
          <w:rtl/>
        </w:rPr>
        <w:t>ניכוי במקור</w:t>
      </w:r>
      <w:r w:rsidR="00765546">
        <w:rPr>
          <w:rFonts w:hint="cs"/>
          <w:rtl/>
        </w:rPr>
        <w:t>.</w:t>
      </w:r>
      <w:r>
        <w:rPr>
          <w:rFonts w:hint="cs"/>
          <w:rtl/>
        </w:rPr>
        <w:t xml:space="preserve"> סכום הקנס שיוטל יישאר זהה. </w:t>
      </w:r>
    </w:p>
    <w:p w14:paraId="64528A9A" w14:textId="26E042E7" w:rsidR="00B653A6" w:rsidRDefault="00B653A6" w:rsidP="00B653A6">
      <w:pPr>
        <w:pStyle w:val="Hesber"/>
        <w:ind w:firstLine="0"/>
        <w:rPr>
          <w:rtl/>
        </w:rPr>
      </w:pPr>
    </w:p>
    <w:p w14:paraId="0473677F" w14:textId="77777777" w:rsidR="00D03D65" w:rsidRDefault="00D03D65" w:rsidP="00B653A6">
      <w:pPr>
        <w:pStyle w:val="Hesber"/>
        <w:ind w:firstLine="0"/>
        <w:rPr>
          <w:rtl/>
        </w:rPr>
      </w:pPr>
    </w:p>
    <w:p w14:paraId="4D9C1BC6" w14:textId="5E7BA4A1" w:rsidR="00B653A6" w:rsidRDefault="00B653A6" w:rsidP="0079053B">
      <w:pPr>
        <w:pStyle w:val="Hesber"/>
        <w:ind w:firstLine="0"/>
        <w:rPr>
          <w:rtl/>
        </w:rPr>
      </w:pPr>
      <w:r w:rsidRPr="0079053B">
        <w:rPr>
          <w:rFonts w:hint="cs"/>
          <w:b/>
          <w:bCs/>
          <w:rtl/>
        </w:rPr>
        <w:t>לסעיף</w:t>
      </w:r>
      <w:r w:rsidRPr="0079053B">
        <w:rPr>
          <w:b/>
          <w:bCs/>
          <w:rtl/>
        </w:rPr>
        <w:t xml:space="preserve"> קטן (ב) –</w:t>
      </w:r>
      <w:r>
        <w:rPr>
          <w:rFonts w:hint="cs"/>
          <w:rtl/>
        </w:rPr>
        <w:t xml:space="preserve">מוצע לכלול במסגרת סעיף </w:t>
      </w:r>
      <w:r w:rsidR="0079053B">
        <w:rPr>
          <w:rFonts w:hint="cs"/>
          <w:rtl/>
        </w:rPr>
        <w:t xml:space="preserve">קטן </w:t>
      </w:r>
      <w:r>
        <w:rPr>
          <w:rFonts w:hint="cs"/>
          <w:rtl/>
        </w:rPr>
        <w:t>זה גם קנס בגין אי הגשת דו</w:t>
      </w:r>
      <w:r w:rsidR="006617BE">
        <w:rPr>
          <w:rFonts w:hint="cs"/>
          <w:rtl/>
        </w:rPr>
        <w:t>"</w:t>
      </w:r>
      <w:r>
        <w:rPr>
          <w:rFonts w:hint="cs"/>
          <w:rtl/>
        </w:rPr>
        <w:t xml:space="preserve">ח בהתאם להוראות סעיף 181ב. </w:t>
      </w:r>
    </w:p>
    <w:p w14:paraId="644DD3A1" w14:textId="0D58C240" w:rsidR="00D03D65" w:rsidRDefault="0079053B" w:rsidP="00D03D65">
      <w:pPr>
        <w:pStyle w:val="Hesber"/>
        <w:ind w:firstLine="0"/>
        <w:rPr>
          <w:rtl/>
        </w:rPr>
      </w:pPr>
      <w:r w:rsidRPr="00D03D65">
        <w:rPr>
          <w:rFonts w:hint="cs"/>
          <w:b/>
          <w:bCs/>
          <w:rtl/>
        </w:rPr>
        <w:t>ל</w:t>
      </w:r>
      <w:r w:rsidR="002841EB" w:rsidRPr="00D03D65">
        <w:rPr>
          <w:rFonts w:hint="cs"/>
          <w:b/>
          <w:bCs/>
          <w:rtl/>
        </w:rPr>
        <w:t>סעיף</w:t>
      </w:r>
      <w:r w:rsidR="00D03D65">
        <w:rPr>
          <w:rFonts w:hint="cs"/>
          <w:b/>
          <w:bCs/>
          <w:rtl/>
        </w:rPr>
        <w:t xml:space="preserve"> </w:t>
      </w:r>
      <w:r w:rsidR="002841EB" w:rsidRPr="00D03D65">
        <w:rPr>
          <w:rFonts w:hint="cs"/>
          <w:b/>
          <w:bCs/>
          <w:rtl/>
        </w:rPr>
        <w:t>8</w:t>
      </w:r>
      <w:r w:rsidR="0033192E" w:rsidRPr="00D03D65">
        <w:rPr>
          <w:rFonts w:hint="cs"/>
          <w:b/>
          <w:bCs/>
          <w:rtl/>
        </w:rPr>
        <w:t xml:space="preserve"> </w:t>
      </w:r>
      <w:r w:rsidR="00D03D65">
        <w:rPr>
          <w:rtl/>
        </w:rPr>
        <w:t>–</w:t>
      </w:r>
    </w:p>
    <w:p w14:paraId="1CFD8533" w14:textId="3AE7A911" w:rsidR="00B653A6" w:rsidRPr="00D03D65" w:rsidRDefault="00B653A6" w:rsidP="00D03D65">
      <w:pPr>
        <w:pStyle w:val="Hesber"/>
        <w:ind w:firstLine="0"/>
        <w:rPr>
          <w:rtl/>
        </w:rPr>
      </w:pPr>
      <w:r w:rsidRPr="00D03D65">
        <w:rPr>
          <w:rtl/>
        </w:rPr>
        <w:t xml:space="preserve">מוצע להחיל את התיקון מיום 1 בינואר 2018 על דוחות שיוגשו בשנת המס 2018 ואילך </w:t>
      </w:r>
      <w:r w:rsidR="00E61E2F" w:rsidRPr="00D03D65">
        <w:rPr>
          <w:rtl/>
        </w:rPr>
        <w:t xml:space="preserve"> - </w:t>
      </w:r>
      <w:r w:rsidRPr="00D03D65">
        <w:rPr>
          <w:rtl/>
        </w:rPr>
        <w:t xml:space="preserve">דוחות שיוגשו לחודש ינואר 2018 ואילך, זאת על מנת לאפשר לציבור שעליו יחול התיקון להיערך מבעוד מועד לשינויים, וכן לאפשר לערוך את ההתאמות הנדרשות </w:t>
      </w:r>
      <w:r w:rsidR="00E61E2F" w:rsidRPr="00D03D65">
        <w:rPr>
          <w:rtl/>
        </w:rPr>
        <w:t xml:space="preserve">כדי </w:t>
      </w:r>
      <w:r w:rsidRPr="00D03D65">
        <w:rPr>
          <w:rtl/>
        </w:rPr>
        <w:t>לקלוט את הדיווחים המקוונים</w:t>
      </w:r>
      <w:r w:rsidR="00E61E2F" w:rsidRPr="00D03D65">
        <w:rPr>
          <w:rtl/>
        </w:rPr>
        <w:t>,</w:t>
      </w:r>
      <w:r w:rsidRPr="00D03D65">
        <w:rPr>
          <w:rtl/>
        </w:rPr>
        <w:t xml:space="preserve"> כמוצע</w:t>
      </w:r>
      <w:r w:rsidRPr="00D03D65">
        <w:rPr>
          <w:rFonts w:hint="cs"/>
          <w:rtl/>
        </w:rPr>
        <w:t>.</w:t>
      </w:r>
    </w:p>
    <w:p w14:paraId="44EBB30B" w14:textId="77777777" w:rsidR="002841EB" w:rsidRPr="00B653A6" w:rsidRDefault="002841EB" w:rsidP="00B653A6">
      <w:pPr>
        <w:pStyle w:val="Hesber"/>
        <w:ind w:firstLine="0"/>
        <w:rPr>
          <w:rtl/>
        </w:rPr>
      </w:pPr>
    </w:p>
    <w:p w14:paraId="21408BB5" w14:textId="72464C75" w:rsidR="004B118F" w:rsidRPr="00307ED2" w:rsidRDefault="004B118F" w:rsidP="004B118F">
      <w:pPr>
        <w:pStyle w:val="a9"/>
        <w:numPr>
          <w:ilvl w:val="0"/>
          <w:numId w:val="15"/>
        </w:numPr>
        <w:tabs>
          <w:tab w:val="left" w:pos="624"/>
          <w:tab w:val="left" w:pos="1021"/>
          <w:tab w:val="left" w:pos="1474"/>
          <w:tab w:val="left" w:pos="1928"/>
          <w:tab w:val="left" w:pos="2381"/>
          <w:tab w:val="left" w:pos="2835"/>
        </w:tabs>
        <w:suppressAutoHyphens/>
        <w:spacing w:after="240" w:line="360" w:lineRule="auto"/>
        <w:outlineLvl w:val="0"/>
        <w:rPr>
          <w:rFonts w:ascii="Times New Roman" w:hAnsi="Times New Roman" w:cs="David"/>
          <w:bCs/>
          <w:noProof/>
          <w:sz w:val="26"/>
          <w:szCs w:val="26"/>
          <w:u w:val="single"/>
        </w:rPr>
      </w:pPr>
      <w:r w:rsidRPr="00307ED2">
        <w:rPr>
          <w:rFonts w:ascii="Times New Roman" w:hAnsi="Times New Roman" w:cs="David" w:hint="cs"/>
          <w:bCs/>
          <w:noProof/>
          <w:sz w:val="26"/>
          <w:szCs w:val="26"/>
          <w:u w:val="single"/>
          <w:rtl/>
        </w:rPr>
        <w:t>השפעת החוק המוצע על החוק הקיים</w:t>
      </w:r>
      <w:r w:rsidR="00AA7EFF">
        <w:rPr>
          <w:rFonts w:ascii="Times New Roman" w:hAnsi="Times New Roman" w:cs="David" w:hint="cs"/>
          <w:bCs/>
          <w:noProof/>
          <w:sz w:val="26"/>
          <w:szCs w:val="26"/>
          <w:u w:val="single"/>
          <w:rtl/>
        </w:rPr>
        <w:t xml:space="preserve">        </w:t>
      </w:r>
    </w:p>
    <w:p w14:paraId="443C6902" w14:textId="70FC1AB0" w:rsidR="008C0560" w:rsidRPr="00844132" w:rsidRDefault="004B118F" w:rsidP="00E61E2F">
      <w:pPr>
        <w:pStyle w:val="HeadHatzaotHok"/>
        <w:keepNext w:val="0"/>
        <w:keepLines w:val="0"/>
        <w:jc w:val="both"/>
        <w:rPr>
          <w:rFonts w:ascii="Times New Roman" w:hAnsi="Times New Roman"/>
          <w:b w:val="0"/>
          <w:bCs w:val="0"/>
          <w:noProof/>
          <w:sz w:val="26"/>
          <w:rtl/>
        </w:rPr>
      </w:pPr>
      <w:r w:rsidRPr="00307ED2">
        <w:rPr>
          <w:rFonts w:hint="cs"/>
          <w:b w:val="0"/>
          <w:bCs w:val="0"/>
          <w:sz w:val="24"/>
          <w:szCs w:val="24"/>
          <w:rtl/>
        </w:rPr>
        <w:t>יתוקנו סעיפים בפקוד</w:t>
      </w:r>
      <w:r w:rsidR="00E61E2F">
        <w:rPr>
          <w:rFonts w:hint="cs"/>
          <w:b w:val="0"/>
          <w:bCs w:val="0"/>
          <w:sz w:val="24"/>
          <w:szCs w:val="24"/>
          <w:rtl/>
        </w:rPr>
        <w:t>ה</w:t>
      </w:r>
      <w:r w:rsidR="00844132">
        <w:rPr>
          <w:rFonts w:ascii="Times New Roman" w:hAnsi="Times New Roman" w:hint="cs"/>
          <w:b w:val="0"/>
          <w:bCs w:val="0"/>
          <w:noProof/>
          <w:sz w:val="26"/>
          <w:rtl/>
        </w:rPr>
        <w:t>.</w:t>
      </w:r>
    </w:p>
    <w:p w14:paraId="5C954BCA" w14:textId="0BB10FCC" w:rsidR="004B118F" w:rsidRPr="00FE1A87" w:rsidRDefault="006617BE" w:rsidP="00FE1A87">
      <w:pPr>
        <w:pStyle w:val="a9"/>
        <w:numPr>
          <w:ilvl w:val="0"/>
          <w:numId w:val="15"/>
        </w:numPr>
        <w:tabs>
          <w:tab w:val="left" w:pos="624"/>
          <w:tab w:val="left" w:pos="1021"/>
          <w:tab w:val="left" w:pos="1474"/>
          <w:tab w:val="left" w:pos="1928"/>
          <w:tab w:val="left" w:pos="2381"/>
          <w:tab w:val="left" w:pos="2835"/>
        </w:tabs>
        <w:suppressAutoHyphens/>
        <w:spacing w:after="240" w:line="360" w:lineRule="auto"/>
        <w:outlineLvl w:val="0"/>
        <w:rPr>
          <w:rFonts w:ascii="Times New Roman" w:hAnsi="Times New Roman" w:cs="David"/>
          <w:bCs/>
          <w:noProof/>
          <w:sz w:val="26"/>
          <w:szCs w:val="26"/>
          <w:u w:val="single"/>
        </w:rPr>
      </w:pPr>
      <w:r w:rsidRPr="00FE1A87">
        <w:rPr>
          <w:rFonts w:ascii="Times New Roman" w:hAnsi="Times New Roman" w:cs="David" w:hint="cs"/>
          <w:bCs/>
          <w:noProof/>
          <w:sz w:val="26"/>
          <w:szCs w:val="26"/>
          <w:u w:val="single"/>
          <w:rtl/>
        </w:rPr>
        <w:t xml:space="preserve"> </w:t>
      </w:r>
      <w:r w:rsidR="004B118F" w:rsidRPr="00FE1A87">
        <w:rPr>
          <w:rFonts w:ascii="Times New Roman" w:hAnsi="Times New Roman" w:cs="David" w:hint="cs"/>
          <w:bCs/>
          <w:noProof/>
          <w:sz w:val="26"/>
          <w:szCs w:val="26"/>
          <w:u w:val="single"/>
          <w:rtl/>
        </w:rPr>
        <w:t>השפעת החוק על תקציב המדינה</w:t>
      </w:r>
    </w:p>
    <w:p w14:paraId="66896AF5" w14:textId="7C402B28" w:rsidR="004B118F" w:rsidRPr="00307ED2" w:rsidRDefault="006C51C9" w:rsidP="006617BE">
      <w:pPr>
        <w:pStyle w:val="HeadHatzaotHok"/>
        <w:keepNext w:val="0"/>
        <w:keepLines w:val="0"/>
        <w:ind w:left="90"/>
        <w:jc w:val="both"/>
        <w:rPr>
          <w:b w:val="0"/>
          <w:bCs w:val="0"/>
          <w:sz w:val="24"/>
          <w:szCs w:val="24"/>
          <w:rtl/>
        </w:rPr>
      </w:pPr>
      <w:r>
        <w:rPr>
          <w:rFonts w:hint="cs"/>
          <w:b w:val="0"/>
          <w:bCs w:val="0"/>
          <w:sz w:val="24"/>
          <w:szCs w:val="24"/>
          <w:rtl/>
        </w:rPr>
        <w:t xml:space="preserve">לא צפויות עלויות למעבר לשיטת הדיווח </w:t>
      </w:r>
      <w:r w:rsidR="009751EE">
        <w:rPr>
          <w:rFonts w:hint="cs"/>
          <w:b w:val="0"/>
          <w:bCs w:val="0"/>
          <w:sz w:val="24"/>
          <w:szCs w:val="24"/>
          <w:rtl/>
        </w:rPr>
        <w:t>המקוון</w:t>
      </w:r>
      <w:r w:rsidR="006617BE">
        <w:rPr>
          <w:rFonts w:hint="cs"/>
          <w:b w:val="0"/>
          <w:bCs w:val="0"/>
          <w:sz w:val="24"/>
          <w:szCs w:val="24"/>
          <w:rtl/>
        </w:rPr>
        <w:t>,</w:t>
      </w:r>
      <w:r w:rsidR="009751EE">
        <w:rPr>
          <w:rFonts w:hint="cs"/>
          <w:b w:val="0"/>
          <w:bCs w:val="0"/>
          <w:sz w:val="24"/>
          <w:szCs w:val="24"/>
          <w:rtl/>
        </w:rPr>
        <w:t xml:space="preserve"> </w:t>
      </w:r>
      <w:r>
        <w:rPr>
          <w:rFonts w:hint="cs"/>
          <w:b w:val="0"/>
          <w:bCs w:val="0"/>
          <w:sz w:val="24"/>
          <w:szCs w:val="24"/>
          <w:rtl/>
        </w:rPr>
        <w:t>שכן רשות המסי</w:t>
      </w:r>
      <w:r w:rsidR="009751EE">
        <w:rPr>
          <w:rFonts w:hint="cs"/>
          <w:b w:val="0"/>
          <w:bCs w:val="0"/>
          <w:sz w:val="24"/>
          <w:szCs w:val="24"/>
          <w:rtl/>
        </w:rPr>
        <w:t>ם ערוכה להפעלתו. צפוי שהפעלת הדיווח המקוון תגביר את יכולת האכיפה והגביה, אך קשה לאמוד את ההשפעה על תקציב המדינה.</w:t>
      </w:r>
    </w:p>
    <w:p w14:paraId="40D92C65" w14:textId="77777777" w:rsidR="004B118F" w:rsidRPr="00307ED2" w:rsidRDefault="004B118F" w:rsidP="004B118F">
      <w:pPr>
        <w:pStyle w:val="a9"/>
        <w:numPr>
          <w:ilvl w:val="0"/>
          <w:numId w:val="15"/>
        </w:numPr>
        <w:tabs>
          <w:tab w:val="left" w:pos="624"/>
          <w:tab w:val="left" w:pos="1021"/>
          <w:tab w:val="left" w:pos="1474"/>
          <w:tab w:val="left" w:pos="1928"/>
          <w:tab w:val="left" w:pos="2381"/>
          <w:tab w:val="left" w:pos="2835"/>
        </w:tabs>
        <w:suppressAutoHyphens/>
        <w:spacing w:before="240" w:after="240" w:line="360" w:lineRule="auto"/>
        <w:outlineLvl w:val="0"/>
        <w:rPr>
          <w:rFonts w:ascii="Times New Roman" w:hAnsi="Times New Roman" w:cs="David"/>
          <w:bCs/>
          <w:noProof/>
          <w:sz w:val="26"/>
          <w:szCs w:val="26"/>
          <w:u w:val="single"/>
        </w:rPr>
      </w:pPr>
      <w:r w:rsidRPr="00307ED2">
        <w:rPr>
          <w:rFonts w:ascii="Times New Roman" w:hAnsi="Times New Roman" w:cs="David" w:hint="cs"/>
          <w:bCs/>
          <w:noProof/>
          <w:sz w:val="26"/>
          <w:szCs w:val="26"/>
          <w:u w:val="single"/>
          <w:rtl/>
        </w:rPr>
        <w:t>השפעת החוק המוצע על התקן המנהלי</w:t>
      </w:r>
    </w:p>
    <w:p w14:paraId="6688EE0A" w14:textId="5B0439CF" w:rsidR="004B118F" w:rsidRDefault="004B118F" w:rsidP="006617BE">
      <w:pPr>
        <w:pStyle w:val="HeadHatzaotHok"/>
        <w:keepNext w:val="0"/>
        <w:keepLines w:val="0"/>
        <w:ind w:left="90"/>
        <w:jc w:val="both"/>
        <w:rPr>
          <w:b w:val="0"/>
          <w:bCs w:val="0"/>
          <w:sz w:val="24"/>
          <w:szCs w:val="24"/>
          <w:rtl/>
        </w:rPr>
      </w:pPr>
      <w:r w:rsidRPr="00307ED2">
        <w:rPr>
          <w:rFonts w:hint="cs"/>
          <w:b w:val="0"/>
          <w:bCs w:val="0"/>
          <w:sz w:val="24"/>
          <w:szCs w:val="24"/>
          <w:rtl/>
        </w:rPr>
        <w:t>אין.</w:t>
      </w:r>
    </w:p>
    <w:p w14:paraId="4C2A9ED4" w14:textId="107DE536" w:rsidR="006617BE" w:rsidRDefault="006617BE" w:rsidP="006617BE">
      <w:pPr>
        <w:pStyle w:val="HeadHatzaotHok"/>
        <w:keepNext w:val="0"/>
        <w:keepLines w:val="0"/>
        <w:ind w:left="90"/>
        <w:jc w:val="both"/>
        <w:rPr>
          <w:b w:val="0"/>
          <w:bCs w:val="0"/>
          <w:sz w:val="24"/>
          <w:szCs w:val="24"/>
          <w:rtl/>
        </w:rPr>
      </w:pPr>
    </w:p>
    <w:p w14:paraId="2E20DD2F" w14:textId="2B0EDF49" w:rsidR="004B118F" w:rsidRDefault="00FE1A87" w:rsidP="00FE1A87">
      <w:pPr>
        <w:pStyle w:val="a9"/>
        <w:numPr>
          <w:ilvl w:val="0"/>
          <w:numId w:val="15"/>
        </w:numPr>
        <w:tabs>
          <w:tab w:val="left" w:pos="624"/>
          <w:tab w:val="left" w:pos="1021"/>
          <w:tab w:val="left" w:pos="1474"/>
          <w:tab w:val="left" w:pos="1928"/>
          <w:tab w:val="left" w:pos="2381"/>
          <w:tab w:val="left" w:pos="2835"/>
        </w:tabs>
        <w:suppressAutoHyphens/>
        <w:spacing w:before="240" w:after="240" w:line="360" w:lineRule="auto"/>
        <w:outlineLvl w:val="0"/>
        <w:rPr>
          <w:rFonts w:ascii="Times New Roman" w:hAnsi="Times New Roman" w:cs="David"/>
          <w:bCs/>
          <w:noProof/>
          <w:sz w:val="26"/>
          <w:szCs w:val="26"/>
          <w:u w:val="single"/>
        </w:rPr>
      </w:pPr>
      <w:r>
        <w:rPr>
          <w:rFonts w:ascii="Times New Roman" w:hAnsi="Times New Roman" w:cs="David" w:hint="cs"/>
          <w:bCs/>
          <w:noProof/>
          <w:sz w:val="26"/>
          <w:szCs w:val="26"/>
          <w:u w:val="single"/>
          <w:rtl/>
        </w:rPr>
        <w:t>נוסח החוק המוצע</w:t>
      </w:r>
    </w:p>
    <w:p w14:paraId="7498B471" w14:textId="5D53E301" w:rsidR="00FE1A87" w:rsidRPr="00FE1A87" w:rsidRDefault="00FE1A87" w:rsidP="00FE1A87">
      <w:pPr>
        <w:tabs>
          <w:tab w:val="left" w:pos="624"/>
          <w:tab w:val="left" w:pos="1021"/>
          <w:tab w:val="left" w:pos="1474"/>
          <w:tab w:val="left" w:pos="1928"/>
          <w:tab w:val="left" w:pos="2381"/>
          <w:tab w:val="left" w:pos="2835"/>
        </w:tabs>
        <w:suppressAutoHyphens/>
        <w:spacing w:before="240" w:after="240" w:line="360" w:lineRule="auto"/>
        <w:ind w:left="141" w:firstLine="0"/>
        <w:outlineLvl w:val="0"/>
        <w:rPr>
          <w:rFonts w:ascii="Times New Roman" w:hAnsi="Times New Roman" w:cs="David"/>
          <w:b/>
          <w:noProof/>
          <w:sz w:val="26"/>
          <w:szCs w:val="26"/>
        </w:rPr>
      </w:pPr>
      <w:r w:rsidRPr="00FE1A87">
        <w:rPr>
          <w:rFonts w:ascii="Times New Roman" w:hAnsi="Times New Roman" w:cs="David" w:hint="cs"/>
          <w:b/>
          <w:noProof/>
          <w:sz w:val="26"/>
          <w:szCs w:val="26"/>
          <w:rtl/>
        </w:rPr>
        <w:t>נוסח תזכיר החוק מצורף להלן</w:t>
      </w:r>
    </w:p>
    <w:p w14:paraId="766301AF" w14:textId="77777777" w:rsidR="00FE1A87" w:rsidRDefault="00FE1A87">
      <w:pPr>
        <w:widowControl/>
        <w:autoSpaceDE/>
        <w:autoSpaceDN/>
        <w:bidi w:val="0"/>
        <w:adjustRightInd/>
        <w:spacing w:before="0" w:after="200" w:line="276" w:lineRule="auto"/>
        <w:ind w:firstLine="0"/>
        <w:jc w:val="left"/>
        <w:textAlignment w:val="auto"/>
        <w:rPr>
          <w:rFonts w:ascii="Arial" w:eastAsia="Arial Unicode MS" w:hAnsi="Arial" w:cs="David"/>
          <w:b/>
          <w:bCs/>
          <w:snapToGrid w:val="0"/>
          <w:spacing w:val="0"/>
          <w:sz w:val="20"/>
          <w:szCs w:val="26"/>
          <w:rtl/>
        </w:rPr>
      </w:pPr>
      <w:r>
        <w:rPr>
          <w:rtl/>
        </w:rPr>
        <w:br w:type="page"/>
      </w:r>
    </w:p>
    <w:p w14:paraId="67302611" w14:textId="08C4865B" w:rsidR="009C63EF" w:rsidRPr="00307ED2" w:rsidRDefault="002F70CE" w:rsidP="002C161E">
      <w:pPr>
        <w:pStyle w:val="HeadHatzaotHok"/>
        <w:keepNext w:val="0"/>
        <w:keepLines w:val="0"/>
        <w:rPr>
          <w:rtl/>
        </w:rPr>
      </w:pPr>
      <w:r w:rsidRPr="00307ED2">
        <w:rPr>
          <w:rtl/>
        </w:rPr>
        <w:lastRenderedPageBreak/>
        <w:t>הצעת חו</w:t>
      </w:r>
      <w:r w:rsidRPr="00307ED2">
        <w:rPr>
          <w:rFonts w:hint="cs"/>
          <w:rtl/>
        </w:rPr>
        <w:t>ק לתיקון פקודת מס הכנסה (תיקון מס'</w:t>
      </w:r>
      <w:r w:rsidR="007C333C" w:rsidRPr="00307ED2">
        <w:rPr>
          <w:rFonts w:hint="cs"/>
          <w:rtl/>
        </w:rPr>
        <w:t>)</w:t>
      </w:r>
      <w:r w:rsidRPr="00307ED2">
        <w:rPr>
          <w:rFonts w:hint="cs"/>
          <w:rtl/>
        </w:rPr>
        <w:t>, התש</w:t>
      </w:r>
      <w:r w:rsidR="007C333C" w:rsidRPr="00307ED2">
        <w:rPr>
          <w:rFonts w:hint="cs"/>
          <w:rtl/>
        </w:rPr>
        <w:t>ע</w:t>
      </w:r>
      <w:r w:rsidRPr="00307ED2">
        <w:rPr>
          <w:rFonts w:hint="cs"/>
          <w:rtl/>
        </w:rPr>
        <w:t>"</w:t>
      </w:r>
      <w:r w:rsidR="00E42D22">
        <w:rPr>
          <w:rFonts w:hint="cs"/>
          <w:rtl/>
        </w:rPr>
        <w:t>ז</w:t>
      </w:r>
      <w:r w:rsidRPr="00307ED2">
        <w:rPr>
          <w:rFonts w:hint="cs"/>
          <w:rtl/>
        </w:rPr>
        <w:t>-</w:t>
      </w:r>
      <w:r w:rsidR="002C161E" w:rsidRPr="00307ED2">
        <w:rPr>
          <w:rFonts w:hint="cs"/>
          <w:rtl/>
        </w:rPr>
        <w:t>201</w:t>
      </w:r>
      <w:r w:rsidR="00E42D22">
        <w:rPr>
          <w:rFonts w:hint="cs"/>
          <w:rtl/>
        </w:rPr>
        <w:t>7</w:t>
      </w:r>
    </w:p>
    <w:tbl>
      <w:tblPr>
        <w:bidiVisual/>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603"/>
        <w:gridCol w:w="14"/>
        <w:gridCol w:w="12"/>
        <w:gridCol w:w="6"/>
        <w:gridCol w:w="538"/>
        <w:gridCol w:w="11"/>
        <w:gridCol w:w="547"/>
        <w:gridCol w:w="31"/>
        <w:gridCol w:w="12"/>
        <w:gridCol w:w="158"/>
        <w:gridCol w:w="360"/>
        <w:gridCol w:w="354"/>
        <w:gridCol w:w="801"/>
        <w:gridCol w:w="3932"/>
        <w:gridCol w:w="39"/>
      </w:tblGrid>
      <w:tr w:rsidR="003150AC" w14:paraId="672C1BE6" w14:textId="77777777" w:rsidTr="001E0B49">
        <w:trPr>
          <w:gridAfter w:val="1"/>
          <w:wAfter w:w="39" w:type="dxa"/>
          <w:trHeight w:val="60"/>
        </w:trPr>
        <w:tc>
          <w:tcPr>
            <w:tcW w:w="1609" w:type="dxa"/>
            <w:gridSpan w:val="2"/>
            <w:tcBorders>
              <w:top w:val="nil"/>
              <w:left w:val="nil"/>
              <w:bottom w:val="nil"/>
              <w:right w:val="nil"/>
            </w:tcBorders>
          </w:tcPr>
          <w:p w14:paraId="52349C86" w14:textId="77777777" w:rsidR="003150AC" w:rsidRPr="00A3617B" w:rsidRDefault="003150AC" w:rsidP="00D276AD">
            <w:pPr>
              <w:pStyle w:val="TableSideHeading"/>
              <w:keepLines w:val="0"/>
              <w:rPr>
                <w:sz w:val="26"/>
              </w:rPr>
            </w:pPr>
            <w:r w:rsidRPr="00A3617B">
              <w:rPr>
                <w:rFonts w:hint="cs"/>
                <w:sz w:val="26"/>
                <w:rtl/>
              </w:rPr>
              <w:t>תיקון סעיף 134</w:t>
            </w:r>
          </w:p>
        </w:tc>
        <w:tc>
          <w:tcPr>
            <w:tcW w:w="570" w:type="dxa"/>
            <w:gridSpan w:val="4"/>
            <w:tcBorders>
              <w:top w:val="nil"/>
              <w:left w:val="nil"/>
              <w:bottom w:val="nil"/>
              <w:right w:val="nil"/>
            </w:tcBorders>
          </w:tcPr>
          <w:p w14:paraId="4765A5C2" w14:textId="77777777" w:rsidR="003150AC" w:rsidRPr="00A3617B" w:rsidRDefault="003150AC" w:rsidP="00D276AD">
            <w:pPr>
              <w:pStyle w:val="TableText"/>
              <w:keepLines w:val="0"/>
              <w:numPr>
                <w:ilvl w:val="0"/>
                <w:numId w:val="1"/>
              </w:numPr>
              <w:rPr>
                <w:sz w:val="26"/>
              </w:rPr>
            </w:pPr>
          </w:p>
        </w:tc>
        <w:tc>
          <w:tcPr>
            <w:tcW w:w="6206" w:type="dxa"/>
            <w:gridSpan w:val="9"/>
            <w:tcBorders>
              <w:top w:val="nil"/>
              <w:left w:val="nil"/>
              <w:bottom w:val="nil"/>
              <w:right w:val="nil"/>
            </w:tcBorders>
          </w:tcPr>
          <w:p w14:paraId="2194DE97" w14:textId="4B41C99E" w:rsidR="003150AC" w:rsidRPr="00A3617B" w:rsidRDefault="003150AC" w:rsidP="00DD6B6B">
            <w:pPr>
              <w:pStyle w:val="TableBlock"/>
              <w:keepLines w:val="0"/>
              <w:rPr>
                <w:sz w:val="26"/>
              </w:rPr>
            </w:pPr>
            <w:r w:rsidRPr="00A3617B">
              <w:rPr>
                <w:rFonts w:hint="cs"/>
                <w:sz w:val="26"/>
                <w:rtl/>
              </w:rPr>
              <w:t>בפקודת מס הכנסה (נוסח חדש), התשכ"א-1961</w:t>
            </w:r>
            <w:r w:rsidR="00DD6B6B">
              <w:rPr>
                <w:rStyle w:val="af0"/>
                <w:sz w:val="26"/>
                <w:rtl/>
              </w:rPr>
              <w:footnoteReference w:id="1"/>
            </w:r>
            <w:r w:rsidRPr="00A3617B">
              <w:rPr>
                <w:rFonts w:hint="cs"/>
                <w:sz w:val="26"/>
                <w:rtl/>
              </w:rPr>
              <w:t xml:space="preserve"> (להלן</w:t>
            </w:r>
            <w:r w:rsidR="00FE1A87">
              <w:rPr>
                <w:rFonts w:hint="cs"/>
                <w:sz w:val="26"/>
                <w:rtl/>
              </w:rPr>
              <w:t xml:space="preserve"> -</w:t>
            </w:r>
            <w:r w:rsidRPr="00A3617B">
              <w:rPr>
                <w:rFonts w:hint="cs"/>
                <w:sz w:val="26"/>
                <w:rtl/>
              </w:rPr>
              <w:t xml:space="preserve"> </w:t>
            </w:r>
            <w:r w:rsidR="00E61E2F">
              <w:rPr>
                <w:rFonts w:hint="cs"/>
                <w:sz w:val="26"/>
                <w:rtl/>
              </w:rPr>
              <w:t>הפקודה</w:t>
            </w:r>
            <w:r w:rsidRPr="00A3617B">
              <w:rPr>
                <w:rFonts w:hint="cs"/>
                <w:sz w:val="26"/>
                <w:rtl/>
              </w:rPr>
              <w:t>), האמור בסעיף 134 יסומן (א) ו</w:t>
            </w:r>
            <w:r w:rsidR="00E61E2F">
              <w:rPr>
                <w:rFonts w:hint="cs"/>
                <w:sz w:val="26"/>
                <w:rtl/>
              </w:rPr>
              <w:t>ל</w:t>
            </w:r>
            <w:r w:rsidRPr="00A3617B">
              <w:rPr>
                <w:rFonts w:hint="cs"/>
                <w:sz w:val="26"/>
                <w:rtl/>
              </w:rPr>
              <w:t>אחריו יבוא :</w:t>
            </w:r>
          </w:p>
        </w:tc>
      </w:tr>
      <w:tr w:rsidR="003150AC" w:rsidRPr="003150AC" w14:paraId="5D9D4EC5" w14:textId="77777777" w:rsidTr="001E0B49">
        <w:trPr>
          <w:gridAfter w:val="1"/>
          <w:wAfter w:w="39" w:type="dxa"/>
          <w:trHeight w:val="60"/>
        </w:trPr>
        <w:tc>
          <w:tcPr>
            <w:tcW w:w="1609" w:type="dxa"/>
            <w:gridSpan w:val="2"/>
            <w:tcBorders>
              <w:top w:val="nil"/>
              <w:left w:val="nil"/>
              <w:bottom w:val="nil"/>
              <w:right w:val="nil"/>
            </w:tcBorders>
          </w:tcPr>
          <w:p w14:paraId="28FCCFBF" w14:textId="77777777" w:rsidR="003150AC" w:rsidRPr="003150AC" w:rsidRDefault="003150AC" w:rsidP="00D276AD">
            <w:pPr>
              <w:pStyle w:val="TableSideHeading"/>
              <w:rPr>
                <w:rFonts w:ascii="David" w:hAnsi="David"/>
                <w:sz w:val="26"/>
              </w:rPr>
            </w:pPr>
          </w:p>
        </w:tc>
        <w:tc>
          <w:tcPr>
            <w:tcW w:w="570" w:type="dxa"/>
            <w:gridSpan w:val="4"/>
            <w:tcBorders>
              <w:top w:val="nil"/>
              <w:left w:val="nil"/>
              <w:bottom w:val="nil"/>
              <w:right w:val="nil"/>
            </w:tcBorders>
          </w:tcPr>
          <w:p w14:paraId="05BA8EEF" w14:textId="77777777" w:rsidR="003150AC" w:rsidRPr="003150AC" w:rsidRDefault="003150AC" w:rsidP="00D276AD">
            <w:pPr>
              <w:pStyle w:val="TableText"/>
              <w:rPr>
                <w:rFonts w:ascii="David" w:hAnsi="David"/>
                <w:sz w:val="26"/>
              </w:rPr>
            </w:pPr>
          </w:p>
        </w:tc>
        <w:tc>
          <w:tcPr>
            <w:tcW w:w="558" w:type="dxa"/>
            <w:gridSpan w:val="2"/>
            <w:tcBorders>
              <w:top w:val="nil"/>
              <w:left w:val="nil"/>
              <w:bottom w:val="nil"/>
              <w:right w:val="nil"/>
            </w:tcBorders>
          </w:tcPr>
          <w:p w14:paraId="610A114F" w14:textId="63E11359" w:rsidR="003150AC" w:rsidRPr="003150AC" w:rsidRDefault="00FE1A87" w:rsidP="00D276AD">
            <w:pPr>
              <w:pStyle w:val="TableText"/>
              <w:rPr>
                <w:rFonts w:ascii="David" w:hAnsi="David"/>
                <w:sz w:val="26"/>
              </w:rPr>
            </w:pPr>
            <w:r w:rsidRPr="003150AC">
              <w:rPr>
                <w:rFonts w:ascii="David" w:hAnsi="David"/>
                <w:sz w:val="26"/>
                <w:rtl/>
              </w:rPr>
              <w:t>(ב)</w:t>
            </w:r>
          </w:p>
        </w:tc>
        <w:tc>
          <w:tcPr>
            <w:tcW w:w="561" w:type="dxa"/>
            <w:gridSpan w:val="4"/>
            <w:tcBorders>
              <w:top w:val="nil"/>
              <w:left w:val="nil"/>
              <w:bottom w:val="nil"/>
              <w:right w:val="nil"/>
            </w:tcBorders>
          </w:tcPr>
          <w:p w14:paraId="5A46DD2A" w14:textId="77777777" w:rsidR="003150AC" w:rsidRPr="003150AC" w:rsidRDefault="003150AC" w:rsidP="00D276AD">
            <w:pPr>
              <w:pStyle w:val="TableText"/>
              <w:rPr>
                <w:rFonts w:ascii="David" w:hAnsi="David"/>
                <w:sz w:val="26"/>
              </w:rPr>
            </w:pPr>
            <w:r w:rsidRPr="003150AC">
              <w:rPr>
                <w:rFonts w:ascii="David" w:hAnsi="David"/>
                <w:sz w:val="26"/>
                <w:rtl/>
              </w:rPr>
              <w:t>(1)</w:t>
            </w:r>
          </w:p>
        </w:tc>
        <w:tc>
          <w:tcPr>
            <w:tcW w:w="5087" w:type="dxa"/>
            <w:gridSpan w:val="3"/>
            <w:tcBorders>
              <w:top w:val="nil"/>
              <w:left w:val="nil"/>
              <w:bottom w:val="nil"/>
              <w:right w:val="nil"/>
            </w:tcBorders>
          </w:tcPr>
          <w:p w14:paraId="6B9F6973" w14:textId="0174DED4" w:rsidR="003150AC" w:rsidRPr="003150AC" w:rsidRDefault="003150AC" w:rsidP="00DD6B6B">
            <w:pPr>
              <w:pStyle w:val="P00"/>
              <w:tabs>
                <w:tab w:val="clear" w:pos="624"/>
                <w:tab w:val="left" w:pos="64"/>
              </w:tabs>
              <w:spacing w:before="72" w:line="360" w:lineRule="auto"/>
              <w:ind w:left="205" w:right="126"/>
              <w:rPr>
                <w:rFonts w:ascii="David" w:hAnsi="David" w:cs="David"/>
                <w:sz w:val="26"/>
              </w:rPr>
            </w:pPr>
            <w:r w:rsidRPr="003150AC">
              <w:rPr>
                <w:rStyle w:val="default"/>
                <w:rFonts w:ascii="David" w:hAnsi="David" w:cs="David"/>
                <w:rtl/>
              </w:rPr>
              <w:t xml:space="preserve">אדם </w:t>
            </w:r>
            <w:r w:rsidR="00E61E2F" w:rsidRPr="003150AC">
              <w:rPr>
                <w:rStyle w:val="default"/>
                <w:rFonts w:ascii="David" w:hAnsi="David" w:cs="David"/>
                <w:rtl/>
              </w:rPr>
              <w:t>שחל</w:t>
            </w:r>
            <w:r w:rsidR="00E61E2F">
              <w:rPr>
                <w:rStyle w:val="default"/>
                <w:rFonts w:ascii="David" w:hAnsi="David" w:cs="David" w:hint="cs"/>
                <w:rtl/>
              </w:rPr>
              <w:t xml:space="preserve">ות </w:t>
            </w:r>
            <w:r w:rsidR="00E61E2F" w:rsidRPr="003150AC">
              <w:rPr>
                <w:rStyle w:val="default"/>
                <w:rFonts w:ascii="David" w:hAnsi="David" w:cs="David"/>
                <w:rtl/>
              </w:rPr>
              <w:t xml:space="preserve"> </w:t>
            </w:r>
            <w:r w:rsidRPr="003150AC">
              <w:rPr>
                <w:rStyle w:val="default"/>
                <w:rFonts w:ascii="David" w:hAnsi="David" w:cs="David"/>
                <w:rtl/>
              </w:rPr>
              <w:t xml:space="preserve">עליו </w:t>
            </w:r>
            <w:r w:rsidR="00E61E2F">
              <w:rPr>
                <w:rStyle w:val="default"/>
                <w:rFonts w:ascii="David" w:hAnsi="David" w:cs="David" w:hint="cs"/>
                <w:rtl/>
              </w:rPr>
              <w:t xml:space="preserve">הוראות </w:t>
            </w:r>
            <w:r w:rsidRPr="0033192E">
              <w:rPr>
                <w:rStyle w:val="default"/>
                <w:rFonts w:ascii="David" w:hAnsi="David" w:cs="David"/>
                <w:rtl/>
              </w:rPr>
              <w:t>סעיפים 164</w:t>
            </w:r>
            <w:r w:rsidRPr="0033192E">
              <w:rPr>
                <w:rStyle w:val="default"/>
                <w:rFonts w:ascii="David" w:hAnsi="David" w:cs="David"/>
              </w:rPr>
              <w:t>,</w:t>
            </w:r>
            <w:r w:rsidRPr="0033192E">
              <w:rPr>
                <w:rStyle w:val="default"/>
                <w:rFonts w:ascii="David" w:hAnsi="David" w:cs="David"/>
                <w:rtl/>
              </w:rPr>
              <w:t xml:space="preserve"> 166, 170 או 181ב, או </w:t>
            </w:r>
            <w:r w:rsidR="00E61E2F" w:rsidRPr="0033192E">
              <w:rPr>
                <w:rStyle w:val="default"/>
                <w:rFonts w:ascii="David" w:hAnsi="David" w:cs="David" w:hint="cs"/>
                <w:rtl/>
              </w:rPr>
              <w:t xml:space="preserve">שהוא </w:t>
            </w:r>
            <w:r w:rsidRPr="0033192E">
              <w:rPr>
                <w:rStyle w:val="default"/>
                <w:rFonts w:ascii="David" w:hAnsi="David" w:cs="David"/>
                <w:rtl/>
              </w:rPr>
              <w:t xml:space="preserve">צופה כי יחולו עליו </w:t>
            </w:r>
            <w:r w:rsidRPr="00404D02">
              <w:rPr>
                <w:rStyle w:val="default"/>
                <w:rFonts w:ascii="David" w:hAnsi="David" w:cs="David"/>
                <w:rtl/>
              </w:rPr>
              <w:t>, יודיע על כך בכתב לפקיד השומה בהתאם להוראות סעיף קטן (א)</w:t>
            </w:r>
            <w:r w:rsidR="00DD6B6B">
              <w:rPr>
                <w:rStyle w:val="default"/>
                <w:rFonts w:ascii="David" w:hAnsi="David" w:cs="David" w:hint="cs"/>
                <w:rtl/>
              </w:rPr>
              <w:t>;</w:t>
            </w:r>
            <w:r w:rsidRPr="00404D02">
              <w:rPr>
                <w:rStyle w:val="default"/>
                <w:rFonts w:ascii="David" w:hAnsi="David" w:cs="David"/>
                <w:rtl/>
              </w:rPr>
              <w:t xml:space="preserve">  </w:t>
            </w:r>
          </w:p>
        </w:tc>
      </w:tr>
      <w:tr w:rsidR="003150AC" w:rsidRPr="003150AC" w14:paraId="474AABA1" w14:textId="77777777" w:rsidTr="001E0B49">
        <w:trPr>
          <w:gridAfter w:val="1"/>
          <w:wAfter w:w="39" w:type="dxa"/>
          <w:trHeight w:val="60"/>
        </w:trPr>
        <w:tc>
          <w:tcPr>
            <w:tcW w:w="1609" w:type="dxa"/>
            <w:gridSpan w:val="2"/>
            <w:tcBorders>
              <w:top w:val="nil"/>
              <w:left w:val="nil"/>
              <w:bottom w:val="nil"/>
              <w:right w:val="nil"/>
            </w:tcBorders>
          </w:tcPr>
          <w:p w14:paraId="76E3CE47" w14:textId="77777777" w:rsidR="003150AC" w:rsidRPr="003150AC" w:rsidRDefault="003150AC" w:rsidP="00D276AD">
            <w:pPr>
              <w:pStyle w:val="TableSideHeading"/>
              <w:rPr>
                <w:rFonts w:ascii="David" w:hAnsi="David"/>
                <w:sz w:val="26"/>
              </w:rPr>
            </w:pPr>
          </w:p>
        </w:tc>
        <w:tc>
          <w:tcPr>
            <w:tcW w:w="570" w:type="dxa"/>
            <w:gridSpan w:val="4"/>
            <w:tcBorders>
              <w:top w:val="nil"/>
              <w:left w:val="nil"/>
              <w:bottom w:val="nil"/>
              <w:right w:val="nil"/>
            </w:tcBorders>
          </w:tcPr>
          <w:p w14:paraId="1C6D7D85" w14:textId="77777777" w:rsidR="003150AC" w:rsidRPr="003150AC" w:rsidRDefault="003150AC" w:rsidP="00D276AD">
            <w:pPr>
              <w:pStyle w:val="TableText"/>
              <w:rPr>
                <w:rFonts w:ascii="David" w:hAnsi="David"/>
                <w:sz w:val="26"/>
              </w:rPr>
            </w:pPr>
          </w:p>
        </w:tc>
        <w:tc>
          <w:tcPr>
            <w:tcW w:w="558" w:type="dxa"/>
            <w:gridSpan w:val="2"/>
            <w:tcBorders>
              <w:top w:val="nil"/>
              <w:left w:val="nil"/>
              <w:bottom w:val="nil"/>
              <w:right w:val="nil"/>
            </w:tcBorders>
          </w:tcPr>
          <w:p w14:paraId="2F751762" w14:textId="77777777" w:rsidR="003150AC" w:rsidRPr="003150AC" w:rsidRDefault="003150AC" w:rsidP="00D276AD">
            <w:pPr>
              <w:pStyle w:val="TableText"/>
              <w:rPr>
                <w:rFonts w:ascii="David" w:hAnsi="David"/>
                <w:sz w:val="26"/>
              </w:rPr>
            </w:pPr>
          </w:p>
        </w:tc>
        <w:tc>
          <w:tcPr>
            <w:tcW w:w="561" w:type="dxa"/>
            <w:gridSpan w:val="4"/>
            <w:tcBorders>
              <w:top w:val="nil"/>
              <w:left w:val="nil"/>
              <w:bottom w:val="nil"/>
              <w:right w:val="nil"/>
            </w:tcBorders>
          </w:tcPr>
          <w:p w14:paraId="3A0EC9B1" w14:textId="77777777" w:rsidR="003150AC" w:rsidRPr="003150AC" w:rsidRDefault="003150AC" w:rsidP="00D276AD">
            <w:pPr>
              <w:pStyle w:val="TableText"/>
              <w:rPr>
                <w:rFonts w:ascii="David" w:hAnsi="David"/>
                <w:sz w:val="26"/>
                <w:rtl/>
              </w:rPr>
            </w:pPr>
            <w:r w:rsidRPr="003150AC">
              <w:rPr>
                <w:rFonts w:ascii="David" w:hAnsi="David"/>
                <w:sz w:val="26"/>
                <w:rtl/>
              </w:rPr>
              <w:t>(2)</w:t>
            </w:r>
          </w:p>
        </w:tc>
        <w:tc>
          <w:tcPr>
            <w:tcW w:w="5087" w:type="dxa"/>
            <w:gridSpan w:val="3"/>
            <w:tcBorders>
              <w:top w:val="nil"/>
              <w:left w:val="nil"/>
              <w:bottom w:val="nil"/>
              <w:right w:val="nil"/>
            </w:tcBorders>
          </w:tcPr>
          <w:p w14:paraId="645C62E4" w14:textId="77777777" w:rsidR="003150AC" w:rsidRPr="003150AC" w:rsidRDefault="003150AC" w:rsidP="008C0560">
            <w:pPr>
              <w:pStyle w:val="P00"/>
              <w:tabs>
                <w:tab w:val="clear" w:pos="624"/>
              </w:tabs>
              <w:spacing w:before="72" w:line="360" w:lineRule="auto"/>
              <w:ind w:left="205" w:right="126"/>
              <w:rPr>
                <w:rFonts w:ascii="David" w:hAnsi="David" w:cs="David"/>
                <w:sz w:val="26"/>
              </w:rPr>
            </w:pPr>
            <w:r w:rsidRPr="003150AC">
              <w:rPr>
                <w:rStyle w:val="default"/>
                <w:rFonts w:ascii="David" w:hAnsi="David" w:cs="David"/>
                <w:rtl/>
              </w:rPr>
              <w:t xml:space="preserve">אדם שמסר הודעה לפקיד השומה בהתאם להוראות סעיף קטן (1) וסעיפים 164, 166, 170 או 181ב אינם חלים עליו, רשאי להודיע על כך בכתב לפקיד השומה בהתאם להוראות סעיף קטן (א).  </w:t>
            </w:r>
            <w:r w:rsidR="006E4779">
              <w:rPr>
                <w:rFonts w:ascii="David" w:hAnsi="David" w:cs="David" w:hint="cs"/>
                <w:sz w:val="26"/>
                <w:rtl/>
              </w:rPr>
              <w:t xml:space="preserve"> </w:t>
            </w:r>
          </w:p>
        </w:tc>
      </w:tr>
      <w:tr w:rsidR="003150AC" w:rsidRPr="003150AC" w14:paraId="5A4BA420" w14:textId="77777777" w:rsidTr="001E0B49">
        <w:trPr>
          <w:gridAfter w:val="1"/>
          <w:wAfter w:w="39" w:type="dxa"/>
          <w:trHeight w:val="60"/>
        </w:trPr>
        <w:tc>
          <w:tcPr>
            <w:tcW w:w="1635" w:type="dxa"/>
            <w:gridSpan w:val="4"/>
            <w:tcBorders>
              <w:top w:val="nil"/>
              <w:left w:val="nil"/>
              <w:bottom w:val="nil"/>
              <w:right w:val="nil"/>
            </w:tcBorders>
          </w:tcPr>
          <w:p w14:paraId="16A7216C" w14:textId="77777777" w:rsidR="003150AC" w:rsidRPr="003150AC" w:rsidRDefault="003150AC" w:rsidP="00D276AD">
            <w:pPr>
              <w:pStyle w:val="TableSideHeading"/>
              <w:rPr>
                <w:rFonts w:ascii="David" w:hAnsi="David"/>
                <w:sz w:val="26"/>
              </w:rPr>
            </w:pPr>
          </w:p>
        </w:tc>
        <w:tc>
          <w:tcPr>
            <w:tcW w:w="544" w:type="dxa"/>
            <w:gridSpan w:val="2"/>
            <w:tcBorders>
              <w:top w:val="nil"/>
              <w:left w:val="nil"/>
              <w:bottom w:val="nil"/>
              <w:right w:val="nil"/>
            </w:tcBorders>
          </w:tcPr>
          <w:p w14:paraId="24B9EF39" w14:textId="77777777" w:rsidR="003150AC" w:rsidRPr="003150AC" w:rsidRDefault="003150AC" w:rsidP="00D276AD">
            <w:pPr>
              <w:pStyle w:val="TableText"/>
              <w:rPr>
                <w:rFonts w:ascii="David" w:hAnsi="David"/>
                <w:sz w:val="26"/>
              </w:rPr>
            </w:pPr>
          </w:p>
        </w:tc>
        <w:tc>
          <w:tcPr>
            <w:tcW w:w="589" w:type="dxa"/>
            <w:gridSpan w:val="3"/>
            <w:tcBorders>
              <w:top w:val="nil"/>
              <w:left w:val="nil"/>
              <w:bottom w:val="nil"/>
              <w:right w:val="nil"/>
            </w:tcBorders>
          </w:tcPr>
          <w:p w14:paraId="0C1B2006" w14:textId="77777777" w:rsidR="003150AC" w:rsidRPr="003150AC" w:rsidRDefault="003150AC" w:rsidP="00D276AD">
            <w:pPr>
              <w:pStyle w:val="TableText"/>
              <w:rPr>
                <w:rFonts w:ascii="David" w:hAnsi="David"/>
                <w:sz w:val="26"/>
              </w:rPr>
            </w:pPr>
            <w:r w:rsidRPr="003150AC">
              <w:rPr>
                <w:rFonts w:ascii="David" w:hAnsi="David"/>
                <w:sz w:val="26"/>
                <w:rtl/>
              </w:rPr>
              <w:t>(ג)</w:t>
            </w:r>
          </w:p>
        </w:tc>
        <w:tc>
          <w:tcPr>
            <w:tcW w:w="5617" w:type="dxa"/>
            <w:gridSpan w:val="6"/>
            <w:tcBorders>
              <w:top w:val="nil"/>
              <w:left w:val="nil"/>
              <w:bottom w:val="nil"/>
              <w:right w:val="nil"/>
            </w:tcBorders>
          </w:tcPr>
          <w:p w14:paraId="07A83025" w14:textId="25F44A8A" w:rsidR="003150AC" w:rsidRPr="003150AC" w:rsidRDefault="003150AC" w:rsidP="00DD6B6B">
            <w:pPr>
              <w:pStyle w:val="TableBlock"/>
              <w:rPr>
                <w:rFonts w:ascii="David" w:hAnsi="David"/>
                <w:sz w:val="26"/>
              </w:rPr>
            </w:pPr>
            <w:r w:rsidRPr="003150AC">
              <w:rPr>
                <w:rStyle w:val="default"/>
                <w:rFonts w:ascii="David" w:hAnsi="David" w:cs="David"/>
                <w:rtl/>
              </w:rPr>
              <w:t xml:space="preserve">אדם שבשנת מס פלונית הפסיק כליל את עסקיו או </w:t>
            </w:r>
            <w:r w:rsidR="006E4779">
              <w:rPr>
                <w:rStyle w:val="default"/>
                <w:rFonts w:ascii="David" w:hAnsi="David" w:cs="David" w:hint="cs"/>
                <w:rtl/>
              </w:rPr>
              <w:t xml:space="preserve">את </w:t>
            </w:r>
            <w:r w:rsidRPr="003150AC">
              <w:rPr>
                <w:rStyle w:val="default"/>
                <w:rFonts w:ascii="David" w:hAnsi="David" w:cs="David"/>
                <w:rtl/>
              </w:rPr>
              <w:t xml:space="preserve">פעילותו </w:t>
            </w:r>
            <w:r w:rsidR="00FE1A87">
              <w:rPr>
                <w:rStyle w:val="default"/>
                <w:rFonts w:ascii="David" w:hAnsi="David" w:cs="David" w:hint="cs"/>
                <w:rtl/>
              </w:rPr>
              <w:t xml:space="preserve"> (</w:t>
            </w:r>
            <w:r w:rsidR="006E4779">
              <w:rPr>
                <w:rStyle w:val="default"/>
                <w:rFonts w:ascii="David" w:hAnsi="David" w:cs="David" w:hint="cs"/>
                <w:rtl/>
              </w:rPr>
              <w:t>להלן- הפסקת הפעילות</w:t>
            </w:r>
            <w:r w:rsidR="0079053B">
              <w:rPr>
                <w:rStyle w:val="default"/>
                <w:rFonts w:ascii="David" w:hAnsi="David" w:cs="David" w:hint="cs"/>
                <w:rtl/>
              </w:rPr>
              <w:t xml:space="preserve">) </w:t>
            </w:r>
            <w:r w:rsidRPr="003150AC">
              <w:rPr>
                <w:rStyle w:val="default"/>
                <w:rFonts w:ascii="David" w:hAnsi="David" w:cs="David"/>
                <w:rtl/>
              </w:rPr>
              <w:t xml:space="preserve">יודיע על כך בכתב לפקיד השומה, באופן שיורה המנהל, תוך 30 </w:t>
            </w:r>
            <w:r w:rsidR="006E4779">
              <w:rPr>
                <w:rStyle w:val="default"/>
                <w:rFonts w:ascii="David" w:hAnsi="David" w:cs="David" w:hint="cs"/>
                <w:rtl/>
              </w:rPr>
              <w:t xml:space="preserve">ימים </w:t>
            </w:r>
            <w:r w:rsidRPr="003150AC">
              <w:rPr>
                <w:rStyle w:val="default"/>
                <w:rFonts w:ascii="David" w:hAnsi="David" w:cs="David"/>
                <w:rtl/>
              </w:rPr>
              <w:t>מיום הפסק</w:t>
            </w:r>
            <w:r w:rsidR="006E4779">
              <w:rPr>
                <w:rStyle w:val="default"/>
                <w:rFonts w:ascii="David" w:hAnsi="David" w:cs="David" w:hint="cs"/>
                <w:rtl/>
              </w:rPr>
              <w:t>ת הפעילות</w:t>
            </w:r>
            <w:r w:rsidR="00DD6B6B">
              <w:rPr>
                <w:rStyle w:val="default"/>
                <w:rFonts w:ascii="David" w:hAnsi="David" w:cs="David" w:hint="cs"/>
                <w:rtl/>
              </w:rPr>
              <w:t>;</w:t>
            </w:r>
          </w:p>
        </w:tc>
      </w:tr>
      <w:tr w:rsidR="0067169C" w:rsidRPr="003150AC" w14:paraId="6BE5846A" w14:textId="77777777" w:rsidTr="001E0B49">
        <w:trPr>
          <w:gridAfter w:val="1"/>
          <w:wAfter w:w="39" w:type="dxa"/>
          <w:trHeight w:val="60"/>
        </w:trPr>
        <w:tc>
          <w:tcPr>
            <w:tcW w:w="1635" w:type="dxa"/>
            <w:gridSpan w:val="4"/>
            <w:tcBorders>
              <w:top w:val="nil"/>
              <w:left w:val="nil"/>
              <w:bottom w:val="nil"/>
              <w:right w:val="nil"/>
            </w:tcBorders>
          </w:tcPr>
          <w:p w14:paraId="22E451AB" w14:textId="77777777" w:rsidR="0067169C" w:rsidRPr="003150AC" w:rsidRDefault="0067169C" w:rsidP="00D276AD">
            <w:pPr>
              <w:pStyle w:val="TableSideHeading"/>
              <w:rPr>
                <w:rFonts w:ascii="David" w:hAnsi="David"/>
                <w:sz w:val="26"/>
              </w:rPr>
            </w:pPr>
            <w:r>
              <w:rPr>
                <w:rFonts w:ascii="David" w:hAnsi="David" w:hint="cs"/>
                <w:sz w:val="26"/>
                <w:rtl/>
              </w:rPr>
              <w:t>תיקון סעיף 166</w:t>
            </w:r>
          </w:p>
        </w:tc>
        <w:tc>
          <w:tcPr>
            <w:tcW w:w="544" w:type="dxa"/>
            <w:gridSpan w:val="2"/>
            <w:tcBorders>
              <w:top w:val="nil"/>
              <w:left w:val="nil"/>
              <w:bottom w:val="nil"/>
              <w:right w:val="nil"/>
            </w:tcBorders>
          </w:tcPr>
          <w:p w14:paraId="2C1DD222" w14:textId="77777777" w:rsidR="0067169C" w:rsidRPr="003150AC" w:rsidRDefault="0067169C" w:rsidP="00D276AD">
            <w:pPr>
              <w:pStyle w:val="TableText"/>
              <w:rPr>
                <w:rFonts w:ascii="David" w:hAnsi="David"/>
                <w:sz w:val="26"/>
              </w:rPr>
            </w:pPr>
            <w:r>
              <w:rPr>
                <w:rFonts w:ascii="David" w:hAnsi="David" w:hint="cs"/>
                <w:sz w:val="26"/>
                <w:rtl/>
              </w:rPr>
              <w:t>2.</w:t>
            </w:r>
          </w:p>
        </w:tc>
        <w:tc>
          <w:tcPr>
            <w:tcW w:w="6206" w:type="dxa"/>
            <w:gridSpan w:val="9"/>
            <w:tcBorders>
              <w:top w:val="nil"/>
              <w:left w:val="nil"/>
              <w:bottom w:val="nil"/>
              <w:right w:val="nil"/>
            </w:tcBorders>
          </w:tcPr>
          <w:p w14:paraId="0F1320FF" w14:textId="77777777" w:rsidR="0067169C" w:rsidRPr="003150AC" w:rsidRDefault="0067169C" w:rsidP="00D276AD">
            <w:pPr>
              <w:pStyle w:val="TableBlock"/>
              <w:rPr>
                <w:rFonts w:ascii="David" w:hAnsi="David"/>
                <w:sz w:val="26"/>
              </w:rPr>
            </w:pPr>
            <w:r>
              <w:rPr>
                <w:rFonts w:ascii="David" w:hAnsi="David" w:hint="cs"/>
                <w:sz w:val="26"/>
                <w:rtl/>
              </w:rPr>
              <w:t>בסעיף 166 לפקודה -</w:t>
            </w:r>
          </w:p>
        </w:tc>
      </w:tr>
      <w:tr w:rsidR="0067169C" w:rsidRPr="003150AC" w14:paraId="00389F1E" w14:textId="77777777" w:rsidTr="001E0B49">
        <w:trPr>
          <w:gridAfter w:val="1"/>
          <w:wAfter w:w="39" w:type="dxa"/>
          <w:trHeight w:val="60"/>
        </w:trPr>
        <w:tc>
          <w:tcPr>
            <w:tcW w:w="1635" w:type="dxa"/>
            <w:gridSpan w:val="4"/>
            <w:tcBorders>
              <w:top w:val="nil"/>
              <w:left w:val="nil"/>
              <w:bottom w:val="nil"/>
              <w:right w:val="nil"/>
            </w:tcBorders>
          </w:tcPr>
          <w:p w14:paraId="5F15D609" w14:textId="77777777" w:rsidR="0067169C" w:rsidRDefault="0067169C" w:rsidP="00D276AD">
            <w:pPr>
              <w:pStyle w:val="TableSideHeading"/>
              <w:rPr>
                <w:rFonts w:ascii="David" w:hAnsi="David"/>
                <w:sz w:val="26"/>
                <w:rtl/>
              </w:rPr>
            </w:pPr>
          </w:p>
        </w:tc>
        <w:tc>
          <w:tcPr>
            <w:tcW w:w="544" w:type="dxa"/>
            <w:gridSpan w:val="2"/>
            <w:tcBorders>
              <w:top w:val="nil"/>
              <w:left w:val="nil"/>
              <w:bottom w:val="nil"/>
              <w:right w:val="nil"/>
            </w:tcBorders>
          </w:tcPr>
          <w:p w14:paraId="63C0F71A" w14:textId="77777777" w:rsidR="0067169C" w:rsidRDefault="0067169C" w:rsidP="00636871">
            <w:pPr>
              <w:pStyle w:val="TableText"/>
              <w:rPr>
                <w:rtl/>
              </w:rPr>
            </w:pPr>
          </w:p>
        </w:tc>
        <w:tc>
          <w:tcPr>
            <w:tcW w:w="6206" w:type="dxa"/>
            <w:gridSpan w:val="9"/>
            <w:tcBorders>
              <w:top w:val="nil"/>
              <w:left w:val="nil"/>
              <w:bottom w:val="nil"/>
              <w:right w:val="nil"/>
            </w:tcBorders>
          </w:tcPr>
          <w:p w14:paraId="7CD4867F" w14:textId="77777777" w:rsidR="0033694F" w:rsidRDefault="0067169C" w:rsidP="008C0560">
            <w:pPr>
              <w:pStyle w:val="TableBlock"/>
              <w:numPr>
                <w:ilvl w:val="0"/>
                <w:numId w:val="46"/>
              </w:numPr>
              <w:tabs>
                <w:tab w:val="left" w:pos="624"/>
              </w:tabs>
              <w:rPr>
                <w:rFonts w:ascii="David" w:hAnsi="David"/>
                <w:sz w:val="26"/>
                <w:rtl/>
              </w:rPr>
            </w:pPr>
            <w:r>
              <w:rPr>
                <w:rFonts w:ascii="David" w:hAnsi="David" w:hint="cs"/>
                <w:sz w:val="26"/>
                <w:rtl/>
              </w:rPr>
              <w:t>בסעיף קטן (א), במקום האמור בו יבוא:</w:t>
            </w:r>
          </w:p>
        </w:tc>
      </w:tr>
      <w:tr w:rsidR="0067169C" w14:paraId="0AB6730A" w14:textId="77777777" w:rsidTr="001E0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PrEx>
        <w:trPr>
          <w:gridAfter w:val="1"/>
          <w:wAfter w:w="39" w:type="dxa"/>
          <w:cantSplit/>
          <w:trHeight w:val="60"/>
        </w:trPr>
        <w:tc>
          <w:tcPr>
            <w:tcW w:w="1641" w:type="dxa"/>
            <w:gridSpan w:val="5"/>
          </w:tcPr>
          <w:p w14:paraId="31F04A79" w14:textId="77777777" w:rsidR="0067169C" w:rsidRDefault="0067169C">
            <w:pPr>
              <w:pStyle w:val="TableSideHeading"/>
            </w:pPr>
          </w:p>
        </w:tc>
        <w:tc>
          <w:tcPr>
            <w:tcW w:w="538" w:type="dxa"/>
          </w:tcPr>
          <w:p w14:paraId="6A65E49D" w14:textId="77777777" w:rsidR="0067169C" w:rsidRDefault="0067169C">
            <w:pPr>
              <w:pStyle w:val="TableText"/>
            </w:pPr>
          </w:p>
        </w:tc>
        <w:tc>
          <w:tcPr>
            <w:tcW w:w="601" w:type="dxa"/>
            <w:gridSpan w:val="4"/>
          </w:tcPr>
          <w:p w14:paraId="62004103" w14:textId="48EA61C0" w:rsidR="0067169C" w:rsidRDefault="0067169C">
            <w:pPr>
              <w:pStyle w:val="TableText"/>
            </w:pPr>
          </w:p>
        </w:tc>
        <w:tc>
          <w:tcPr>
            <w:tcW w:w="5605" w:type="dxa"/>
            <w:gridSpan w:val="5"/>
          </w:tcPr>
          <w:p w14:paraId="3ECAF219" w14:textId="3FC02A97" w:rsidR="0067169C" w:rsidRDefault="00404D02" w:rsidP="0079053B">
            <w:pPr>
              <w:pStyle w:val="TableBlock"/>
            </w:pPr>
            <w:r>
              <w:rPr>
                <w:rFonts w:ascii="David" w:hAnsi="David" w:hint="cs"/>
                <w:sz w:val="26"/>
                <w:rtl/>
              </w:rPr>
              <w:t>"</w:t>
            </w:r>
            <w:r w:rsidR="0067169C" w:rsidRPr="00C4307F">
              <w:rPr>
                <w:rFonts w:ascii="David" w:hAnsi="David" w:hint="cs"/>
                <w:sz w:val="26"/>
                <w:rtl/>
              </w:rPr>
              <w:t xml:space="preserve">ניכה אדם מס לפי סעיפים 164 או 170 או שהיה </w:t>
            </w:r>
            <w:r w:rsidR="0079053B">
              <w:rPr>
                <w:rFonts w:ascii="David" w:hAnsi="David" w:hint="cs"/>
                <w:sz w:val="26"/>
                <w:rtl/>
              </w:rPr>
              <w:t xml:space="preserve">עליו </w:t>
            </w:r>
            <w:r w:rsidR="0067169C" w:rsidRPr="00C4307F">
              <w:rPr>
                <w:rFonts w:ascii="David" w:hAnsi="David" w:hint="cs"/>
                <w:sz w:val="26"/>
                <w:rtl/>
              </w:rPr>
              <w:t>לנכות מס כאמור או שהוא חייב בתשלום מקדמות לפי סעיף 181ב חייב לשלם לפקיד השומה את סכום המס שניכה או שהיה עליו לנכות ואת המקדמה בשל הוצאות עודפות, לפי הענין ולהגיש לו באותו מועד דו"ח כפי שנקבע.</w:t>
            </w:r>
            <w:r>
              <w:rPr>
                <w:rFonts w:hint="cs"/>
                <w:rtl/>
              </w:rPr>
              <w:t>"</w:t>
            </w:r>
            <w:r w:rsidR="00DD6B6B">
              <w:rPr>
                <w:rFonts w:hint="cs"/>
                <w:rtl/>
              </w:rPr>
              <w:t>;</w:t>
            </w:r>
          </w:p>
        </w:tc>
      </w:tr>
      <w:tr w:rsidR="00C4307F" w14:paraId="444FCB25" w14:textId="77777777" w:rsidTr="001E0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PrEx>
        <w:trPr>
          <w:gridAfter w:val="1"/>
          <w:wAfter w:w="39" w:type="dxa"/>
          <w:cantSplit/>
          <w:trHeight w:val="60"/>
        </w:trPr>
        <w:tc>
          <w:tcPr>
            <w:tcW w:w="1635" w:type="dxa"/>
            <w:gridSpan w:val="4"/>
          </w:tcPr>
          <w:p w14:paraId="146804D4" w14:textId="77777777" w:rsidR="00C4307F" w:rsidRDefault="00C4307F">
            <w:pPr>
              <w:pStyle w:val="TableSideHeading"/>
            </w:pPr>
          </w:p>
        </w:tc>
        <w:tc>
          <w:tcPr>
            <w:tcW w:w="544" w:type="dxa"/>
            <w:gridSpan w:val="2"/>
          </w:tcPr>
          <w:p w14:paraId="758DE359" w14:textId="77777777" w:rsidR="00C4307F" w:rsidRDefault="00C4307F">
            <w:pPr>
              <w:pStyle w:val="TableText"/>
            </w:pPr>
          </w:p>
        </w:tc>
        <w:tc>
          <w:tcPr>
            <w:tcW w:w="6206" w:type="dxa"/>
            <w:gridSpan w:val="9"/>
          </w:tcPr>
          <w:p w14:paraId="5F57BF39" w14:textId="24C0ADB2" w:rsidR="0033694F" w:rsidRDefault="00C4307F" w:rsidP="00144285">
            <w:pPr>
              <w:pStyle w:val="TableBlock"/>
              <w:numPr>
                <w:ilvl w:val="0"/>
                <w:numId w:val="46"/>
              </w:numPr>
            </w:pPr>
            <w:r w:rsidRPr="003150AC">
              <w:rPr>
                <w:rFonts w:ascii="David" w:hAnsi="David"/>
                <w:sz w:val="26"/>
                <w:rtl/>
              </w:rPr>
              <w:t>אחרי סעיף קטן (א1) יבוא:</w:t>
            </w:r>
          </w:p>
        </w:tc>
      </w:tr>
      <w:tr w:rsidR="003150AC" w:rsidRPr="003150AC" w14:paraId="1467EDB6" w14:textId="77777777" w:rsidTr="001E0B49">
        <w:trPr>
          <w:gridAfter w:val="1"/>
          <w:wAfter w:w="39" w:type="dxa"/>
          <w:trHeight w:val="60"/>
        </w:trPr>
        <w:tc>
          <w:tcPr>
            <w:tcW w:w="1635" w:type="dxa"/>
            <w:gridSpan w:val="4"/>
            <w:tcBorders>
              <w:top w:val="nil"/>
              <w:left w:val="nil"/>
              <w:bottom w:val="nil"/>
              <w:right w:val="nil"/>
            </w:tcBorders>
          </w:tcPr>
          <w:p w14:paraId="44311153" w14:textId="2BE570C6" w:rsidR="003150AC" w:rsidRPr="003150AC" w:rsidRDefault="003150AC" w:rsidP="0079053B">
            <w:pPr>
              <w:pStyle w:val="TableSideHeading"/>
              <w:rPr>
                <w:rFonts w:ascii="David" w:hAnsi="David"/>
                <w:sz w:val="26"/>
              </w:rPr>
            </w:pPr>
          </w:p>
        </w:tc>
        <w:tc>
          <w:tcPr>
            <w:tcW w:w="544" w:type="dxa"/>
            <w:gridSpan w:val="2"/>
            <w:tcBorders>
              <w:top w:val="nil"/>
              <w:left w:val="nil"/>
              <w:bottom w:val="nil"/>
              <w:right w:val="nil"/>
            </w:tcBorders>
          </w:tcPr>
          <w:p w14:paraId="2972708D" w14:textId="77777777" w:rsidR="003150AC" w:rsidRPr="003150AC" w:rsidRDefault="003150AC" w:rsidP="0079053B">
            <w:pPr>
              <w:pStyle w:val="TableText"/>
              <w:rPr>
                <w:rFonts w:ascii="David" w:hAnsi="David"/>
                <w:sz w:val="26"/>
              </w:rPr>
            </w:pPr>
          </w:p>
        </w:tc>
        <w:tc>
          <w:tcPr>
            <w:tcW w:w="6206" w:type="dxa"/>
            <w:gridSpan w:val="9"/>
            <w:tcBorders>
              <w:top w:val="nil"/>
              <w:left w:val="nil"/>
              <w:bottom w:val="nil"/>
              <w:right w:val="nil"/>
            </w:tcBorders>
          </w:tcPr>
          <w:p w14:paraId="26548B12" w14:textId="77777777" w:rsidR="003150AC" w:rsidRPr="003150AC" w:rsidRDefault="003150AC" w:rsidP="00C4307F">
            <w:pPr>
              <w:pStyle w:val="TableBlock"/>
              <w:rPr>
                <w:rFonts w:ascii="David" w:hAnsi="David"/>
                <w:sz w:val="26"/>
              </w:rPr>
            </w:pPr>
            <w:r w:rsidRPr="003150AC">
              <w:rPr>
                <w:rFonts w:ascii="David" w:hAnsi="David"/>
                <w:sz w:val="26"/>
                <w:rtl/>
              </w:rPr>
              <w:t>"(</w:t>
            </w:r>
            <w:r w:rsidRPr="003150AC">
              <w:rPr>
                <w:rStyle w:val="default"/>
                <w:rFonts w:ascii="David" w:hAnsi="David" w:cs="David"/>
                <w:rtl/>
              </w:rPr>
              <w:t>א2) אדם שהודיע כאמור בסעיף 134 (ב)(1), ואשר לא חלות עליו הוראות סעיף קטן (א) יגיש דוח כפי שנקבע בתקנות</w:t>
            </w:r>
            <w:r w:rsidRPr="003150AC">
              <w:rPr>
                <w:rFonts w:ascii="David" w:hAnsi="David"/>
                <w:sz w:val="26"/>
                <w:rtl/>
              </w:rPr>
              <w:t>.</w:t>
            </w:r>
            <w:r w:rsidR="0079053B">
              <w:rPr>
                <w:rFonts w:ascii="David" w:hAnsi="David" w:hint="cs"/>
                <w:sz w:val="26"/>
                <w:rtl/>
              </w:rPr>
              <w:t xml:space="preserve"> </w:t>
            </w:r>
            <w:r w:rsidRPr="003150AC">
              <w:rPr>
                <w:rFonts w:ascii="David" w:hAnsi="David"/>
                <w:sz w:val="26"/>
                <w:rtl/>
              </w:rPr>
              <w:t xml:space="preserve">(א3) </w:t>
            </w:r>
            <w:r w:rsidRPr="003150AC">
              <w:rPr>
                <w:rStyle w:val="default"/>
                <w:rFonts w:ascii="David" w:hAnsi="David" w:cs="David"/>
                <w:rtl/>
              </w:rPr>
              <w:t>דו"ח בהתאם להוראות סעיף קטן (א) ו</w:t>
            </w:r>
            <w:r w:rsidR="00C4307F">
              <w:rPr>
                <w:rStyle w:val="default"/>
                <w:rFonts w:ascii="David" w:hAnsi="David" w:cs="David" w:hint="cs"/>
                <w:rtl/>
              </w:rPr>
              <w:t>-</w:t>
            </w:r>
            <w:r w:rsidRPr="003150AC">
              <w:rPr>
                <w:rStyle w:val="default"/>
                <w:rFonts w:ascii="David" w:hAnsi="David" w:cs="David"/>
                <w:rtl/>
              </w:rPr>
              <w:t xml:space="preserve"> (א2) יוגש באופן מקוון (להלן – דוח ניכויים תקופתי מקוון)  כפי שיקבע בתקנות, למעט דו"ח שנתי המפרט ומסכם את כלל ההוצאות העודפות בהתאם להוראות סעיף 181ב"</w:t>
            </w:r>
            <w:r w:rsidR="009444A9">
              <w:rPr>
                <w:rStyle w:val="default"/>
                <w:rFonts w:ascii="David" w:hAnsi="David" w:cs="David" w:hint="cs"/>
                <w:rtl/>
              </w:rPr>
              <w:t>.</w:t>
            </w:r>
          </w:p>
        </w:tc>
      </w:tr>
      <w:tr w:rsidR="003150AC" w:rsidRPr="003150AC" w14:paraId="7711849D" w14:textId="77777777" w:rsidTr="001E0B49">
        <w:trPr>
          <w:gridAfter w:val="1"/>
          <w:wAfter w:w="39" w:type="dxa"/>
          <w:trHeight w:val="60"/>
        </w:trPr>
        <w:tc>
          <w:tcPr>
            <w:tcW w:w="1635" w:type="dxa"/>
            <w:gridSpan w:val="4"/>
            <w:tcBorders>
              <w:top w:val="nil"/>
              <w:left w:val="nil"/>
              <w:bottom w:val="nil"/>
              <w:right w:val="nil"/>
            </w:tcBorders>
          </w:tcPr>
          <w:p w14:paraId="795F4C54" w14:textId="2EA015AB" w:rsidR="0033694F" w:rsidRDefault="004B24C8" w:rsidP="00144285">
            <w:pPr>
              <w:pStyle w:val="TableSideHeading"/>
              <w:rPr>
                <w:rFonts w:ascii="David" w:hAnsi="David"/>
                <w:sz w:val="26"/>
                <w:rtl/>
              </w:rPr>
            </w:pPr>
            <w:r>
              <w:rPr>
                <w:rFonts w:ascii="David" w:hAnsi="David" w:hint="cs"/>
                <w:sz w:val="26"/>
                <w:rtl/>
              </w:rPr>
              <w:t xml:space="preserve">הוספת סעיף </w:t>
            </w:r>
            <w:r w:rsidR="00C4307F" w:rsidRPr="003150AC">
              <w:rPr>
                <w:rFonts w:ascii="David" w:hAnsi="David"/>
                <w:sz w:val="26"/>
                <w:rtl/>
              </w:rPr>
              <w:t xml:space="preserve">166א </w:t>
            </w:r>
          </w:p>
        </w:tc>
        <w:tc>
          <w:tcPr>
            <w:tcW w:w="544" w:type="dxa"/>
            <w:gridSpan w:val="2"/>
            <w:tcBorders>
              <w:top w:val="nil"/>
              <w:left w:val="nil"/>
              <w:bottom w:val="nil"/>
              <w:right w:val="nil"/>
            </w:tcBorders>
          </w:tcPr>
          <w:p w14:paraId="58002C46" w14:textId="77777777" w:rsidR="003150AC" w:rsidRPr="003150AC" w:rsidRDefault="00C4307F" w:rsidP="00D276AD">
            <w:pPr>
              <w:pStyle w:val="TableText"/>
              <w:rPr>
                <w:rFonts w:ascii="David" w:hAnsi="David"/>
                <w:sz w:val="26"/>
                <w:rtl/>
              </w:rPr>
            </w:pPr>
            <w:r>
              <w:rPr>
                <w:rFonts w:ascii="David" w:hAnsi="David" w:hint="cs"/>
                <w:sz w:val="26"/>
                <w:rtl/>
              </w:rPr>
              <w:t>3.</w:t>
            </w:r>
          </w:p>
        </w:tc>
        <w:tc>
          <w:tcPr>
            <w:tcW w:w="6206" w:type="dxa"/>
            <w:gridSpan w:val="9"/>
            <w:tcBorders>
              <w:top w:val="nil"/>
              <w:left w:val="nil"/>
              <w:bottom w:val="nil"/>
              <w:right w:val="nil"/>
            </w:tcBorders>
          </w:tcPr>
          <w:p w14:paraId="19AF59B7" w14:textId="77777777" w:rsidR="003150AC" w:rsidRPr="003150AC" w:rsidRDefault="00C4307F" w:rsidP="00D276AD">
            <w:pPr>
              <w:pStyle w:val="TableBlock"/>
              <w:rPr>
                <w:rFonts w:ascii="David" w:hAnsi="David"/>
                <w:sz w:val="26"/>
              </w:rPr>
            </w:pPr>
            <w:r>
              <w:rPr>
                <w:rFonts w:ascii="David" w:hAnsi="David" w:hint="cs"/>
                <w:sz w:val="26"/>
                <w:rtl/>
              </w:rPr>
              <w:t>אחרי סעיף 166 לפקודה יבוא:</w:t>
            </w:r>
          </w:p>
        </w:tc>
      </w:tr>
      <w:tr w:rsidR="004F0641" w:rsidRPr="003150AC" w14:paraId="0633A952" w14:textId="77777777" w:rsidTr="001E0B49">
        <w:trPr>
          <w:gridAfter w:val="1"/>
          <w:wAfter w:w="39" w:type="dxa"/>
          <w:trHeight w:val="60"/>
        </w:trPr>
        <w:tc>
          <w:tcPr>
            <w:tcW w:w="1635" w:type="dxa"/>
            <w:gridSpan w:val="4"/>
            <w:tcBorders>
              <w:top w:val="nil"/>
              <w:left w:val="nil"/>
              <w:bottom w:val="nil"/>
              <w:right w:val="nil"/>
            </w:tcBorders>
          </w:tcPr>
          <w:p w14:paraId="761971A5" w14:textId="77777777" w:rsidR="004F0641" w:rsidRDefault="004F0641" w:rsidP="004B24C8">
            <w:pPr>
              <w:pStyle w:val="TableSideHeading"/>
              <w:rPr>
                <w:rFonts w:ascii="David" w:hAnsi="David"/>
                <w:sz w:val="26"/>
                <w:rtl/>
              </w:rPr>
            </w:pPr>
          </w:p>
        </w:tc>
        <w:tc>
          <w:tcPr>
            <w:tcW w:w="544" w:type="dxa"/>
            <w:gridSpan w:val="2"/>
            <w:tcBorders>
              <w:top w:val="nil"/>
              <w:left w:val="nil"/>
              <w:bottom w:val="nil"/>
              <w:right w:val="nil"/>
            </w:tcBorders>
          </w:tcPr>
          <w:p w14:paraId="4929B576" w14:textId="77777777" w:rsidR="004F0641" w:rsidRDefault="004F0641" w:rsidP="004F0641">
            <w:pPr>
              <w:pStyle w:val="TableText"/>
              <w:rPr>
                <w:rtl/>
              </w:rPr>
            </w:pPr>
          </w:p>
        </w:tc>
        <w:tc>
          <w:tcPr>
            <w:tcW w:w="1473" w:type="dxa"/>
            <w:gridSpan w:val="7"/>
            <w:tcBorders>
              <w:top w:val="nil"/>
              <w:left w:val="nil"/>
              <w:bottom w:val="nil"/>
              <w:right w:val="nil"/>
            </w:tcBorders>
          </w:tcPr>
          <w:p w14:paraId="602346B5" w14:textId="77777777" w:rsidR="0033694F" w:rsidRDefault="004F0641" w:rsidP="008C0560">
            <w:pPr>
              <w:pStyle w:val="TableBlock"/>
              <w:jc w:val="left"/>
              <w:rPr>
                <w:rFonts w:ascii="David" w:hAnsi="David"/>
                <w:b/>
                <w:bCs/>
                <w:sz w:val="26"/>
                <w:rtl/>
              </w:rPr>
            </w:pPr>
            <w:r>
              <w:rPr>
                <w:rFonts w:ascii="David" w:hAnsi="David" w:hint="cs"/>
                <w:sz w:val="26"/>
                <w:rtl/>
              </w:rPr>
              <w:t>"קביעת מס</w:t>
            </w:r>
          </w:p>
          <w:p w14:paraId="445C7B99" w14:textId="77777777" w:rsidR="004F0641" w:rsidRDefault="004F0641" w:rsidP="00D276AD">
            <w:pPr>
              <w:pStyle w:val="TableBlock"/>
              <w:rPr>
                <w:rFonts w:ascii="David" w:hAnsi="David"/>
                <w:sz w:val="26"/>
                <w:rtl/>
              </w:rPr>
            </w:pPr>
          </w:p>
        </w:tc>
        <w:tc>
          <w:tcPr>
            <w:tcW w:w="801" w:type="dxa"/>
            <w:tcBorders>
              <w:top w:val="nil"/>
              <w:left w:val="nil"/>
              <w:bottom w:val="nil"/>
              <w:right w:val="nil"/>
            </w:tcBorders>
          </w:tcPr>
          <w:p w14:paraId="2AFE815D" w14:textId="77777777" w:rsidR="004F0641" w:rsidRDefault="00080E2E" w:rsidP="00080E2E">
            <w:pPr>
              <w:pStyle w:val="TableBlock"/>
              <w:rPr>
                <w:rFonts w:ascii="David" w:hAnsi="David"/>
                <w:sz w:val="26"/>
                <w:rtl/>
              </w:rPr>
            </w:pPr>
            <w:r>
              <w:rPr>
                <w:rFonts w:ascii="David" w:hAnsi="David" w:hint="cs"/>
                <w:sz w:val="26"/>
                <w:rtl/>
              </w:rPr>
              <w:lastRenderedPageBreak/>
              <w:t>1</w:t>
            </w:r>
            <w:r w:rsidR="004F0641">
              <w:rPr>
                <w:rFonts w:ascii="David" w:hAnsi="David" w:hint="cs"/>
                <w:sz w:val="26"/>
                <w:rtl/>
              </w:rPr>
              <w:t>66</w:t>
            </w:r>
            <w:r>
              <w:rPr>
                <w:rFonts w:ascii="David" w:hAnsi="David" w:hint="cs"/>
                <w:sz w:val="26"/>
                <w:rtl/>
              </w:rPr>
              <w:t>א</w:t>
            </w:r>
            <w:r w:rsidR="004F0641">
              <w:rPr>
                <w:rFonts w:ascii="David" w:hAnsi="David" w:hint="cs"/>
                <w:sz w:val="26"/>
                <w:rtl/>
              </w:rPr>
              <w:t>.</w:t>
            </w:r>
          </w:p>
        </w:tc>
        <w:tc>
          <w:tcPr>
            <w:tcW w:w="3932" w:type="dxa"/>
            <w:tcBorders>
              <w:top w:val="nil"/>
              <w:left w:val="nil"/>
              <w:bottom w:val="nil"/>
              <w:right w:val="nil"/>
            </w:tcBorders>
          </w:tcPr>
          <w:p w14:paraId="00B58C07" w14:textId="4DB0032B" w:rsidR="004F0641" w:rsidRPr="003150AC" w:rsidRDefault="004F0641" w:rsidP="00144285">
            <w:pPr>
              <w:pStyle w:val="TableBlock"/>
              <w:keepLines w:val="0"/>
              <w:numPr>
                <w:ilvl w:val="0"/>
                <w:numId w:val="59"/>
              </w:numPr>
              <w:rPr>
                <w:rFonts w:ascii="David" w:hAnsi="David"/>
                <w:sz w:val="26"/>
              </w:rPr>
            </w:pPr>
            <w:r w:rsidRPr="003150AC">
              <w:rPr>
                <w:rStyle w:val="default"/>
                <w:rFonts w:ascii="David" w:hAnsi="David" w:cs="David"/>
                <w:rtl/>
              </w:rPr>
              <w:t xml:space="preserve">אדם שהוראות סעיפים 166(א) או </w:t>
            </w:r>
            <w:r w:rsidRPr="003150AC">
              <w:rPr>
                <w:rStyle w:val="default"/>
                <w:rFonts w:ascii="David" w:hAnsi="David" w:cs="David"/>
                <w:rtl/>
              </w:rPr>
              <w:lastRenderedPageBreak/>
              <w:t>166(א2) חלות עליו ולא הגיש דוח במועד שנקבע</w:t>
            </w:r>
            <w:r w:rsidR="00144285">
              <w:rPr>
                <w:rStyle w:val="default"/>
                <w:rFonts w:ascii="David" w:hAnsi="David" w:cs="David" w:hint="cs"/>
                <w:rtl/>
              </w:rPr>
              <w:t xml:space="preserve"> -</w:t>
            </w:r>
            <w:r w:rsidRPr="003150AC">
              <w:rPr>
                <w:rStyle w:val="default"/>
                <w:rFonts w:ascii="David" w:hAnsi="David" w:cs="David"/>
                <w:rtl/>
              </w:rPr>
              <w:t xml:space="preserve"> רשאי פקיד השומה לקבוע את סכום המס שעליו לשלם (להלן – קביעת מס</w:t>
            </w:r>
            <w:r w:rsidRPr="003150AC">
              <w:rPr>
                <w:rFonts w:ascii="David" w:hAnsi="David"/>
                <w:sz w:val="26"/>
                <w:rtl/>
              </w:rPr>
              <w:t>).</w:t>
            </w:r>
          </w:p>
          <w:p w14:paraId="4FC9A7B5" w14:textId="77777777" w:rsidR="004F0641" w:rsidRDefault="004F0641" w:rsidP="004F0641">
            <w:pPr>
              <w:pStyle w:val="TableBlock"/>
              <w:rPr>
                <w:rFonts w:ascii="David" w:hAnsi="David"/>
                <w:sz w:val="26"/>
                <w:rtl/>
              </w:rPr>
            </w:pPr>
          </w:p>
        </w:tc>
      </w:tr>
      <w:tr w:rsidR="004F0641" w:rsidRPr="003150AC" w14:paraId="6ECAE181" w14:textId="77777777" w:rsidTr="001E0B49">
        <w:trPr>
          <w:gridAfter w:val="1"/>
          <w:wAfter w:w="39" w:type="dxa"/>
          <w:trHeight w:val="60"/>
        </w:trPr>
        <w:tc>
          <w:tcPr>
            <w:tcW w:w="1635" w:type="dxa"/>
            <w:gridSpan w:val="4"/>
            <w:tcBorders>
              <w:top w:val="nil"/>
              <w:left w:val="nil"/>
              <w:bottom w:val="nil"/>
              <w:right w:val="nil"/>
            </w:tcBorders>
          </w:tcPr>
          <w:p w14:paraId="06F35036" w14:textId="77777777" w:rsidR="004F0641" w:rsidRDefault="004F0641" w:rsidP="004B24C8">
            <w:pPr>
              <w:pStyle w:val="TableSideHeading"/>
              <w:rPr>
                <w:rFonts w:ascii="David" w:hAnsi="David"/>
                <w:sz w:val="26"/>
                <w:rtl/>
              </w:rPr>
            </w:pPr>
          </w:p>
        </w:tc>
        <w:tc>
          <w:tcPr>
            <w:tcW w:w="544" w:type="dxa"/>
            <w:gridSpan w:val="2"/>
            <w:tcBorders>
              <w:top w:val="nil"/>
              <w:left w:val="nil"/>
              <w:bottom w:val="nil"/>
              <w:right w:val="nil"/>
            </w:tcBorders>
          </w:tcPr>
          <w:p w14:paraId="3F58DB8B" w14:textId="77777777" w:rsidR="004F0641" w:rsidRDefault="004F0641" w:rsidP="004F0641">
            <w:pPr>
              <w:pStyle w:val="TableText"/>
              <w:rPr>
                <w:rtl/>
              </w:rPr>
            </w:pPr>
          </w:p>
        </w:tc>
        <w:tc>
          <w:tcPr>
            <w:tcW w:w="1473" w:type="dxa"/>
            <w:gridSpan w:val="7"/>
            <w:tcBorders>
              <w:top w:val="nil"/>
              <w:left w:val="nil"/>
              <w:bottom w:val="nil"/>
              <w:right w:val="nil"/>
            </w:tcBorders>
          </w:tcPr>
          <w:p w14:paraId="4EEB389D" w14:textId="77777777" w:rsidR="004F0641" w:rsidRDefault="004F0641" w:rsidP="004F0641">
            <w:pPr>
              <w:pStyle w:val="TableBlock"/>
              <w:jc w:val="left"/>
              <w:rPr>
                <w:rFonts w:ascii="David" w:hAnsi="David"/>
                <w:sz w:val="26"/>
                <w:rtl/>
              </w:rPr>
            </w:pPr>
          </w:p>
        </w:tc>
        <w:tc>
          <w:tcPr>
            <w:tcW w:w="801" w:type="dxa"/>
            <w:tcBorders>
              <w:top w:val="nil"/>
              <w:left w:val="nil"/>
              <w:bottom w:val="nil"/>
              <w:right w:val="nil"/>
            </w:tcBorders>
          </w:tcPr>
          <w:p w14:paraId="30E7C610" w14:textId="77777777" w:rsidR="004F0641" w:rsidRDefault="004F0641" w:rsidP="004F0641">
            <w:pPr>
              <w:pStyle w:val="TableBlock"/>
              <w:rPr>
                <w:rFonts w:ascii="David" w:hAnsi="David"/>
                <w:sz w:val="26"/>
                <w:rtl/>
              </w:rPr>
            </w:pPr>
          </w:p>
        </w:tc>
        <w:tc>
          <w:tcPr>
            <w:tcW w:w="3932" w:type="dxa"/>
            <w:tcBorders>
              <w:top w:val="nil"/>
              <w:left w:val="nil"/>
              <w:bottom w:val="nil"/>
              <w:right w:val="nil"/>
            </w:tcBorders>
          </w:tcPr>
          <w:p w14:paraId="46A62449" w14:textId="77777777" w:rsidR="004F0641" w:rsidRPr="003150AC" w:rsidRDefault="004F0641" w:rsidP="00FD4DBB">
            <w:pPr>
              <w:pStyle w:val="TableBlock"/>
              <w:keepLines w:val="0"/>
              <w:numPr>
                <w:ilvl w:val="0"/>
                <w:numId w:val="59"/>
              </w:numPr>
              <w:rPr>
                <w:rStyle w:val="default"/>
                <w:rFonts w:ascii="David" w:hAnsi="David" w:cs="David"/>
                <w:rtl/>
              </w:rPr>
            </w:pPr>
            <w:r w:rsidRPr="003150AC">
              <w:rPr>
                <w:rStyle w:val="default"/>
                <w:rFonts w:ascii="David" w:hAnsi="David" w:cs="David"/>
                <w:rtl/>
              </w:rPr>
              <w:t xml:space="preserve">על קביעת מס אין להשיג או לערער, והיא </w:t>
            </w:r>
            <w:r>
              <w:rPr>
                <w:rStyle w:val="default"/>
                <w:rFonts w:ascii="David" w:hAnsi="David" w:cs="David" w:hint="cs"/>
                <w:rtl/>
              </w:rPr>
              <w:t>תבוטל</w:t>
            </w:r>
            <w:r w:rsidRPr="003150AC">
              <w:rPr>
                <w:rStyle w:val="default"/>
                <w:rFonts w:ascii="David" w:hAnsi="David" w:cs="David"/>
                <w:rtl/>
              </w:rPr>
              <w:t xml:space="preserve"> </w:t>
            </w:r>
            <w:r>
              <w:rPr>
                <w:rStyle w:val="default"/>
                <w:rFonts w:ascii="David" w:hAnsi="David" w:cs="David" w:hint="cs"/>
                <w:rtl/>
              </w:rPr>
              <w:t>רק לאחר ש</w:t>
            </w:r>
            <w:r w:rsidRPr="003150AC">
              <w:rPr>
                <w:rStyle w:val="default"/>
                <w:rFonts w:ascii="David" w:hAnsi="David" w:cs="David"/>
                <w:rtl/>
              </w:rPr>
              <w:t>יוגש הדו"ח שבגינו הוצאה קביעה כאמור</w:t>
            </w:r>
            <w:r>
              <w:rPr>
                <w:rStyle w:val="default"/>
                <w:rFonts w:ascii="David" w:hAnsi="David" w:cs="David" w:hint="cs"/>
                <w:rtl/>
              </w:rPr>
              <w:t>.</w:t>
            </w:r>
          </w:p>
        </w:tc>
      </w:tr>
      <w:tr w:rsidR="004F0641" w:rsidRPr="003150AC" w14:paraId="5CCD55EB" w14:textId="77777777" w:rsidTr="001E0B49">
        <w:trPr>
          <w:gridAfter w:val="1"/>
          <w:wAfter w:w="39" w:type="dxa"/>
          <w:trHeight w:val="60"/>
        </w:trPr>
        <w:tc>
          <w:tcPr>
            <w:tcW w:w="1635" w:type="dxa"/>
            <w:gridSpan w:val="4"/>
            <w:tcBorders>
              <w:top w:val="nil"/>
              <w:left w:val="nil"/>
              <w:bottom w:val="nil"/>
              <w:right w:val="nil"/>
            </w:tcBorders>
          </w:tcPr>
          <w:p w14:paraId="7839FBA9" w14:textId="77777777" w:rsidR="004F0641" w:rsidRDefault="004F0641" w:rsidP="004B24C8">
            <w:pPr>
              <w:pStyle w:val="TableSideHeading"/>
              <w:rPr>
                <w:rFonts w:ascii="David" w:hAnsi="David"/>
                <w:sz w:val="26"/>
                <w:rtl/>
              </w:rPr>
            </w:pPr>
          </w:p>
        </w:tc>
        <w:tc>
          <w:tcPr>
            <w:tcW w:w="544" w:type="dxa"/>
            <w:gridSpan w:val="2"/>
            <w:tcBorders>
              <w:top w:val="nil"/>
              <w:left w:val="nil"/>
              <w:bottom w:val="nil"/>
              <w:right w:val="nil"/>
            </w:tcBorders>
          </w:tcPr>
          <w:p w14:paraId="63786E84" w14:textId="77777777" w:rsidR="004F0641" w:rsidRDefault="004F0641" w:rsidP="004F0641">
            <w:pPr>
              <w:pStyle w:val="TableText"/>
              <w:rPr>
                <w:rtl/>
              </w:rPr>
            </w:pPr>
          </w:p>
        </w:tc>
        <w:tc>
          <w:tcPr>
            <w:tcW w:w="1473" w:type="dxa"/>
            <w:gridSpan w:val="7"/>
            <w:tcBorders>
              <w:top w:val="nil"/>
              <w:left w:val="nil"/>
              <w:bottom w:val="nil"/>
              <w:right w:val="nil"/>
            </w:tcBorders>
          </w:tcPr>
          <w:p w14:paraId="1E349BFE" w14:textId="77777777" w:rsidR="004F0641" w:rsidRDefault="004F0641" w:rsidP="004F0641">
            <w:pPr>
              <w:pStyle w:val="TableBlock"/>
              <w:jc w:val="left"/>
              <w:rPr>
                <w:rFonts w:ascii="David" w:hAnsi="David"/>
                <w:sz w:val="26"/>
                <w:rtl/>
              </w:rPr>
            </w:pPr>
          </w:p>
        </w:tc>
        <w:tc>
          <w:tcPr>
            <w:tcW w:w="801" w:type="dxa"/>
            <w:tcBorders>
              <w:top w:val="nil"/>
              <w:left w:val="nil"/>
              <w:bottom w:val="nil"/>
              <w:right w:val="nil"/>
            </w:tcBorders>
          </w:tcPr>
          <w:p w14:paraId="6351112D" w14:textId="77777777" w:rsidR="004F0641" w:rsidRDefault="004F0641" w:rsidP="004F0641">
            <w:pPr>
              <w:pStyle w:val="TableBlock"/>
              <w:rPr>
                <w:rFonts w:ascii="David" w:hAnsi="David"/>
                <w:sz w:val="26"/>
                <w:rtl/>
              </w:rPr>
            </w:pPr>
          </w:p>
        </w:tc>
        <w:tc>
          <w:tcPr>
            <w:tcW w:w="3932" w:type="dxa"/>
            <w:tcBorders>
              <w:top w:val="nil"/>
              <w:left w:val="nil"/>
              <w:bottom w:val="nil"/>
              <w:right w:val="nil"/>
            </w:tcBorders>
          </w:tcPr>
          <w:p w14:paraId="380CC423" w14:textId="1B86A2BB" w:rsidR="004F0641" w:rsidRPr="003150AC" w:rsidRDefault="004F0641" w:rsidP="004F0641">
            <w:pPr>
              <w:pStyle w:val="TableBlock"/>
              <w:keepLines w:val="0"/>
              <w:numPr>
                <w:ilvl w:val="0"/>
                <w:numId w:val="59"/>
              </w:numPr>
              <w:rPr>
                <w:rStyle w:val="default"/>
                <w:rFonts w:ascii="David" w:hAnsi="David" w:cs="David"/>
                <w:rtl/>
              </w:rPr>
            </w:pPr>
            <w:r w:rsidRPr="003150AC">
              <w:rPr>
                <w:rStyle w:val="default"/>
                <w:rFonts w:ascii="David" w:hAnsi="David" w:cs="David"/>
                <w:rtl/>
              </w:rPr>
              <w:t xml:space="preserve">על אף האמור בסעיף קטן </w:t>
            </w:r>
            <w:r>
              <w:rPr>
                <w:rStyle w:val="default"/>
                <w:rFonts w:ascii="David" w:hAnsi="David" w:cs="David" w:hint="cs"/>
                <w:rtl/>
              </w:rPr>
              <w:t>(ב)</w:t>
            </w:r>
            <w:r w:rsidRPr="003150AC">
              <w:rPr>
                <w:rStyle w:val="default"/>
                <w:rFonts w:ascii="David" w:hAnsi="David" w:cs="David"/>
                <w:rtl/>
              </w:rPr>
              <w:t xml:space="preserve">, אדם שהוראות סעיף 134(ב)(1) לא חלות עליו, יהא רשאי לערער </w:t>
            </w:r>
            <w:r>
              <w:rPr>
                <w:rStyle w:val="default"/>
                <w:rFonts w:ascii="David" w:hAnsi="David" w:cs="David" w:hint="cs"/>
                <w:rtl/>
              </w:rPr>
              <w:t xml:space="preserve">לפי </w:t>
            </w:r>
            <w:r w:rsidRPr="003150AC">
              <w:rPr>
                <w:rStyle w:val="default"/>
                <w:rFonts w:ascii="David" w:hAnsi="David" w:cs="David"/>
                <w:rtl/>
              </w:rPr>
              <w:t xml:space="preserve"> הוראות סעיף 153.</w:t>
            </w:r>
            <w:r w:rsidR="006617BE">
              <w:rPr>
                <w:rStyle w:val="default"/>
                <w:rFonts w:ascii="David" w:hAnsi="David" w:cs="David" w:hint="cs"/>
                <w:rtl/>
              </w:rPr>
              <w:t>"</w:t>
            </w:r>
          </w:p>
        </w:tc>
      </w:tr>
      <w:tr w:rsidR="003150AC" w:rsidRPr="003150AC" w14:paraId="286485C6" w14:textId="77777777" w:rsidTr="001E0B49">
        <w:trPr>
          <w:gridAfter w:val="1"/>
          <w:wAfter w:w="39" w:type="dxa"/>
          <w:trHeight w:val="1624"/>
        </w:trPr>
        <w:tc>
          <w:tcPr>
            <w:tcW w:w="1635" w:type="dxa"/>
            <w:gridSpan w:val="4"/>
            <w:tcBorders>
              <w:top w:val="nil"/>
              <w:left w:val="nil"/>
              <w:bottom w:val="nil"/>
              <w:right w:val="nil"/>
            </w:tcBorders>
          </w:tcPr>
          <w:p w14:paraId="2F4F3DBC" w14:textId="77777777" w:rsidR="003150AC" w:rsidRPr="003150AC" w:rsidRDefault="003150AC" w:rsidP="00D276AD">
            <w:pPr>
              <w:pStyle w:val="TableSideHeading"/>
              <w:rPr>
                <w:rFonts w:ascii="David" w:hAnsi="David"/>
                <w:sz w:val="26"/>
                <w:rtl/>
              </w:rPr>
            </w:pPr>
            <w:r w:rsidRPr="003150AC">
              <w:rPr>
                <w:rFonts w:ascii="David" w:hAnsi="David"/>
                <w:sz w:val="26"/>
                <w:rtl/>
              </w:rPr>
              <w:t>תיקון סעיף 171</w:t>
            </w:r>
          </w:p>
        </w:tc>
        <w:tc>
          <w:tcPr>
            <w:tcW w:w="544" w:type="dxa"/>
            <w:gridSpan w:val="2"/>
            <w:tcBorders>
              <w:top w:val="nil"/>
              <w:left w:val="nil"/>
              <w:bottom w:val="nil"/>
              <w:right w:val="nil"/>
            </w:tcBorders>
          </w:tcPr>
          <w:p w14:paraId="0E003189" w14:textId="77777777" w:rsidR="003150AC" w:rsidRPr="003150AC" w:rsidRDefault="003150AC" w:rsidP="00D276AD">
            <w:pPr>
              <w:pStyle w:val="TableText"/>
              <w:rPr>
                <w:rFonts w:ascii="David" w:hAnsi="David"/>
                <w:sz w:val="26"/>
                <w:rtl/>
              </w:rPr>
            </w:pPr>
            <w:r w:rsidRPr="003150AC">
              <w:rPr>
                <w:rFonts w:ascii="David" w:hAnsi="David"/>
                <w:sz w:val="26"/>
                <w:rtl/>
              </w:rPr>
              <w:t>4.</w:t>
            </w:r>
          </w:p>
        </w:tc>
        <w:tc>
          <w:tcPr>
            <w:tcW w:w="6206" w:type="dxa"/>
            <w:gridSpan w:val="9"/>
            <w:tcBorders>
              <w:top w:val="nil"/>
              <w:left w:val="nil"/>
              <w:bottom w:val="nil"/>
              <w:right w:val="nil"/>
            </w:tcBorders>
          </w:tcPr>
          <w:p w14:paraId="19B0A2DC" w14:textId="054DD5F5" w:rsidR="00FD4DBB" w:rsidRPr="003150AC" w:rsidRDefault="00F14FFC" w:rsidP="00144285">
            <w:pPr>
              <w:pStyle w:val="TableBlock"/>
              <w:rPr>
                <w:rFonts w:ascii="David" w:hAnsi="David"/>
                <w:sz w:val="26"/>
              </w:rPr>
            </w:pPr>
            <w:r>
              <w:rPr>
                <w:rFonts w:ascii="David" w:hAnsi="David" w:hint="cs"/>
                <w:sz w:val="26"/>
                <w:rtl/>
              </w:rPr>
              <w:t>בסעיף 171 לפקודה</w:t>
            </w:r>
            <w:r w:rsidR="004F0641">
              <w:rPr>
                <w:rFonts w:ascii="David" w:hAnsi="David" w:hint="cs"/>
                <w:sz w:val="26"/>
                <w:rtl/>
              </w:rPr>
              <w:t>,</w:t>
            </w:r>
            <w:r>
              <w:rPr>
                <w:rFonts w:ascii="David" w:hAnsi="David" w:hint="cs"/>
                <w:sz w:val="26"/>
                <w:rtl/>
              </w:rPr>
              <w:t xml:space="preserve"> </w:t>
            </w:r>
            <w:r w:rsidR="003150AC" w:rsidRPr="003150AC">
              <w:rPr>
                <w:rFonts w:ascii="David" w:hAnsi="David"/>
                <w:sz w:val="26"/>
                <w:rtl/>
              </w:rPr>
              <w:t>המילים "תוך שבעה ימים מיום שניכה" – ימחקו, ובסיפא אחרי "ולהגיש לו דו"ח" יבוא "בהתאם לקבוע בתקנות".</w:t>
            </w:r>
          </w:p>
        </w:tc>
      </w:tr>
      <w:tr w:rsidR="003150AC" w:rsidRPr="003150AC" w14:paraId="1CF575E5" w14:textId="77777777" w:rsidTr="001E0B49">
        <w:trPr>
          <w:gridAfter w:val="1"/>
          <w:wAfter w:w="39" w:type="dxa"/>
          <w:trHeight w:val="60"/>
        </w:trPr>
        <w:tc>
          <w:tcPr>
            <w:tcW w:w="1635" w:type="dxa"/>
            <w:gridSpan w:val="4"/>
            <w:tcBorders>
              <w:top w:val="nil"/>
              <w:left w:val="nil"/>
              <w:bottom w:val="nil"/>
              <w:right w:val="nil"/>
            </w:tcBorders>
          </w:tcPr>
          <w:p w14:paraId="336CCB15" w14:textId="3973EAD1" w:rsidR="003150AC" w:rsidRPr="003150AC" w:rsidRDefault="00AA7EFF" w:rsidP="00AA7EFF">
            <w:pPr>
              <w:pStyle w:val="TableSideHeading"/>
              <w:rPr>
                <w:rFonts w:ascii="David" w:hAnsi="David"/>
                <w:sz w:val="26"/>
                <w:rtl/>
              </w:rPr>
            </w:pPr>
            <w:r>
              <w:rPr>
                <w:rFonts w:ascii="David" w:hAnsi="David" w:hint="cs"/>
                <w:sz w:val="26"/>
                <w:rtl/>
              </w:rPr>
              <w:t>תיקון סעיף 181ב</w:t>
            </w:r>
          </w:p>
        </w:tc>
        <w:tc>
          <w:tcPr>
            <w:tcW w:w="544" w:type="dxa"/>
            <w:gridSpan w:val="2"/>
            <w:tcBorders>
              <w:top w:val="nil"/>
              <w:left w:val="nil"/>
              <w:bottom w:val="nil"/>
              <w:right w:val="nil"/>
            </w:tcBorders>
          </w:tcPr>
          <w:p w14:paraId="6FB7A969" w14:textId="49B8F3FB" w:rsidR="003150AC" w:rsidRPr="003150AC" w:rsidRDefault="00F14FFC" w:rsidP="00FD4DBB">
            <w:pPr>
              <w:pStyle w:val="TableText"/>
              <w:rPr>
                <w:rFonts w:ascii="David" w:hAnsi="David"/>
                <w:sz w:val="26"/>
                <w:rtl/>
              </w:rPr>
            </w:pPr>
            <w:r>
              <w:rPr>
                <w:rFonts w:ascii="David" w:hAnsi="David" w:hint="cs"/>
                <w:sz w:val="26"/>
                <w:rtl/>
              </w:rPr>
              <w:t>5.</w:t>
            </w:r>
          </w:p>
        </w:tc>
        <w:tc>
          <w:tcPr>
            <w:tcW w:w="6206" w:type="dxa"/>
            <w:gridSpan w:val="9"/>
            <w:tcBorders>
              <w:top w:val="nil"/>
              <w:left w:val="nil"/>
              <w:bottom w:val="nil"/>
              <w:right w:val="nil"/>
            </w:tcBorders>
          </w:tcPr>
          <w:p w14:paraId="73EB179A" w14:textId="77777777" w:rsidR="0033694F" w:rsidRDefault="00F14FFC">
            <w:pPr>
              <w:pStyle w:val="TableBlock"/>
              <w:rPr>
                <w:rFonts w:ascii="David" w:hAnsi="David"/>
                <w:sz w:val="26"/>
              </w:rPr>
            </w:pPr>
            <w:r>
              <w:rPr>
                <w:rStyle w:val="default"/>
                <w:rFonts w:ascii="David" w:hAnsi="David" w:cs="David" w:hint="cs"/>
                <w:rtl/>
              </w:rPr>
              <w:t>בסעיף 181ב לפקודה</w:t>
            </w:r>
            <w:r w:rsidR="004B24C8">
              <w:rPr>
                <w:rStyle w:val="default"/>
                <w:rFonts w:ascii="David" w:hAnsi="David" w:cs="David" w:hint="cs"/>
                <w:rtl/>
              </w:rPr>
              <w:t>,</w:t>
            </w:r>
            <w:r>
              <w:rPr>
                <w:rStyle w:val="default"/>
                <w:rFonts w:ascii="David" w:hAnsi="David" w:cs="David" w:hint="cs"/>
                <w:rtl/>
              </w:rPr>
              <w:t xml:space="preserve"> "אחרי סעיף קטן (א) יבוא:</w:t>
            </w:r>
          </w:p>
        </w:tc>
      </w:tr>
      <w:tr w:rsidR="001F5B28" w14:paraId="169C2023" w14:textId="77777777" w:rsidTr="001E0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PrEx>
        <w:trPr>
          <w:gridBefore w:val="1"/>
          <w:gridAfter w:val="1"/>
          <w:wBefore w:w="6" w:type="dxa"/>
          <w:wAfter w:w="39" w:type="dxa"/>
          <w:cantSplit/>
          <w:trHeight w:val="60"/>
        </w:trPr>
        <w:tc>
          <w:tcPr>
            <w:tcW w:w="1629" w:type="dxa"/>
            <w:gridSpan w:val="3"/>
          </w:tcPr>
          <w:p w14:paraId="0FB88AEA" w14:textId="77777777" w:rsidR="001F5B28" w:rsidRDefault="001F5B28">
            <w:pPr>
              <w:pStyle w:val="TableSideHeading"/>
            </w:pPr>
          </w:p>
        </w:tc>
        <w:tc>
          <w:tcPr>
            <w:tcW w:w="544" w:type="dxa"/>
            <w:gridSpan w:val="2"/>
          </w:tcPr>
          <w:p w14:paraId="35B5F9BE" w14:textId="77777777" w:rsidR="001F5B28" w:rsidRDefault="001F5B28">
            <w:pPr>
              <w:pStyle w:val="TableText"/>
            </w:pPr>
          </w:p>
        </w:tc>
        <w:tc>
          <w:tcPr>
            <w:tcW w:w="6206" w:type="dxa"/>
            <w:gridSpan w:val="9"/>
          </w:tcPr>
          <w:p w14:paraId="213AB37C" w14:textId="51C3B1FA" w:rsidR="001F5B28" w:rsidRDefault="00144285" w:rsidP="00FD4DBB">
            <w:pPr>
              <w:pStyle w:val="TableBlock"/>
              <w:tabs>
                <w:tab w:val="clear" w:pos="624"/>
              </w:tabs>
            </w:pPr>
            <w:r>
              <w:rPr>
                <w:rStyle w:val="default"/>
                <w:rFonts w:ascii="David" w:hAnsi="David" w:cs="David" w:hint="cs"/>
                <w:rtl/>
              </w:rPr>
              <w:t>"</w:t>
            </w:r>
            <w:r w:rsidR="00FD4DBB">
              <w:rPr>
                <w:rStyle w:val="default"/>
                <w:rFonts w:ascii="David" w:hAnsi="David" w:cs="David" w:hint="cs"/>
                <w:rtl/>
              </w:rPr>
              <w:t xml:space="preserve">(א1)  </w:t>
            </w:r>
            <w:r w:rsidR="001F5B28" w:rsidRPr="003150AC">
              <w:rPr>
                <w:rStyle w:val="default"/>
                <w:rFonts w:ascii="David" w:hAnsi="David" w:cs="David"/>
                <w:rtl/>
              </w:rPr>
              <w:t>חבר בני אדם שהודיע כאמור בסעיף 134 (ב)(1), לא הודיע כאמור בסעיף 134(ב)(2) או 134(ג), ואשר לא חלות עליו הוראות סעיף קטן (א) יגיש דוח כפי שנקבע בתקנות</w:t>
            </w:r>
            <w:r w:rsidR="001F5B28" w:rsidRPr="003150AC">
              <w:rPr>
                <w:rFonts w:ascii="David" w:hAnsi="David"/>
                <w:sz w:val="26"/>
                <w:rtl/>
              </w:rPr>
              <w:t>.</w:t>
            </w:r>
            <w:r w:rsidR="004B24C8">
              <w:rPr>
                <w:rFonts w:hint="cs"/>
                <w:rtl/>
              </w:rPr>
              <w:t>"</w:t>
            </w:r>
            <w:r>
              <w:rPr>
                <w:rFonts w:hint="cs"/>
                <w:rtl/>
              </w:rPr>
              <w:t>.</w:t>
            </w:r>
          </w:p>
          <w:p w14:paraId="64045E22" w14:textId="77777777" w:rsidR="001F5B28" w:rsidRPr="001F5B28" w:rsidRDefault="001F5B28" w:rsidP="001F5B28">
            <w:pPr>
              <w:pStyle w:val="TableBlock"/>
            </w:pPr>
          </w:p>
        </w:tc>
      </w:tr>
      <w:tr w:rsidR="003150AC" w:rsidRPr="003150AC" w14:paraId="58BBD2C2" w14:textId="77777777" w:rsidTr="001E0B49">
        <w:trPr>
          <w:gridAfter w:val="1"/>
          <w:wAfter w:w="39" w:type="dxa"/>
          <w:trHeight w:val="60"/>
        </w:trPr>
        <w:tc>
          <w:tcPr>
            <w:tcW w:w="1635" w:type="dxa"/>
            <w:gridSpan w:val="4"/>
            <w:tcBorders>
              <w:top w:val="nil"/>
              <w:left w:val="nil"/>
              <w:bottom w:val="nil"/>
              <w:right w:val="nil"/>
            </w:tcBorders>
          </w:tcPr>
          <w:p w14:paraId="7E8993C3" w14:textId="77777777" w:rsidR="003150AC" w:rsidRPr="003150AC" w:rsidRDefault="003150AC" w:rsidP="00D276AD">
            <w:pPr>
              <w:pStyle w:val="TableSideHeading"/>
              <w:rPr>
                <w:rFonts w:ascii="David" w:hAnsi="David"/>
                <w:sz w:val="26"/>
                <w:rtl/>
              </w:rPr>
            </w:pPr>
            <w:r w:rsidRPr="003150AC">
              <w:rPr>
                <w:rFonts w:ascii="David" w:hAnsi="David"/>
                <w:sz w:val="26"/>
                <w:rtl/>
              </w:rPr>
              <w:t>תיקון סעיף 187</w:t>
            </w:r>
          </w:p>
        </w:tc>
        <w:tc>
          <w:tcPr>
            <w:tcW w:w="544" w:type="dxa"/>
            <w:gridSpan w:val="2"/>
            <w:tcBorders>
              <w:top w:val="nil"/>
              <w:left w:val="nil"/>
              <w:bottom w:val="nil"/>
              <w:right w:val="nil"/>
            </w:tcBorders>
          </w:tcPr>
          <w:p w14:paraId="7EF690C1" w14:textId="77777777" w:rsidR="003150AC" w:rsidRPr="003150AC" w:rsidRDefault="003150AC" w:rsidP="00D276AD">
            <w:pPr>
              <w:pStyle w:val="TableText"/>
              <w:rPr>
                <w:rFonts w:ascii="David" w:hAnsi="David"/>
                <w:sz w:val="26"/>
                <w:rtl/>
              </w:rPr>
            </w:pPr>
            <w:r w:rsidRPr="003150AC">
              <w:rPr>
                <w:rFonts w:ascii="David" w:hAnsi="David"/>
                <w:sz w:val="26"/>
                <w:rtl/>
              </w:rPr>
              <w:t>6.</w:t>
            </w:r>
          </w:p>
        </w:tc>
        <w:tc>
          <w:tcPr>
            <w:tcW w:w="6206" w:type="dxa"/>
            <w:gridSpan w:val="9"/>
            <w:tcBorders>
              <w:top w:val="nil"/>
              <w:left w:val="nil"/>
              <w:bottom w:val="nil"/>
              <w:right w:val="nil"/>
            </w:tcBorders>
          </w:tcPr>
          <w:p w14:paraId="541C3220" w14:textId="070D0F84" w:rsidR="003150AC" w:rsidRPr="003150AC" w:rsidRDefault="001F5B28" w:rsidP="00144285">
            <w:pPr>
              <w:pStyle w:val="TableBlock"/>
              <w:rPr>
                <w:rFonts w:ascii="David" w:hAnsi="David"/>
                <w:sz w:val="26"/>
              </w:rPr>
            </w:pPr>
            <w:r>
              <w:rPr>
                <w:rFonts w:ascii="David" w:hAnsi="David" w:hint="cs"/>
                <w:sz w:val="26"/>
                <w:rtl/>
              </w:rPr>
              <w:t xml:space="preserve">בסעיף 187 לפקודה, </w:t>
            </w:r>
            <w:r w:rsidR="003150AC" w:rsidRPr="003150AC">
              <w:rPr>
                <w:rFonts w:ascii="David" w:hAnsi="David"/>
                <w:sz w:val="26"/>
                <w:rtl/>
              </w:rPr>
              <w:t>בסעיף קטן (ג)(1)</w:t>
            </w:r>
            <w:r w:rsidR="00FD4DBB">
              <w:rPr>
                <w:rFonts w:ascii="David" w:hAnsi="David" w:hint="cs"/>
                <w:sz w:val="26"/>
                <w:rtl/>
              </w:rPr>
              <w:t>,</w:t>
            </w:r>
            <w:r w:rsidR="003150AC" w:rsidRPr="003150AC">
              <w:rPr>
                <w:rFonts w:ascii="David" w:hAnsi="David"/>
                <w:sz w:val="26"/>
                <w:rtl/>
              </w:rPr>
              <w:t xml:space="preserve"> במקום "14" יבוא "16", והמילים "שקדם ליום" ימחקו.</w:t>
            </w:r>
          </w:p>
        </w:tc>
      </w:tr>
      <w:tr w:rsidR="003150AC" w:rsidRPr="003150AC" w14:paraId="37C64612" w14:textId="77777777" w:rsidTr="001E0B49">
        <w:trPr>
          <w:gridAfter w:val="1"/>
          <w:wAfter w:w="39" w:type="dxa"/>
          <w:trHeight w:val="60"/>
        </w:trPr>
        <w:tc>
          <w:tcPr>
            <w:tcW w:w="1635" w:type="dxa"/>
            <w:gridSpan w:val="4"/>
            <w:tcBorders>
              <w:top w:val="nil"/>
              <w:left w:val="nil"/>
              <w:bottom w:val="nil"/>
              <w:right w:val="nil"/>
            </w:tcBorders>
          </w:tcPr>
          <w:p w14:paraId="1B0BEA22" w14:textId="77777777" w:rsidR="003150AC" w:rsidRPr="003150AC" w:rsidRDefault="003150AC" w:rsidP="00D276AD">
            <w:pPr>
              <w:pStyle w:val="TableSideHeading"/>
              <w:rPr>
                <w:rFonts w:ascii="David" w:hAnsi="David"/>
                <w:sz w:val="26"/>
                <w:rtl/>
              </w:rPr>
            </w:pPr>
            <w:r w:rsidRPr="003150AC">
              <w:rPr>
                <w:rFonts w:ascii="David" w:hAnsi="David"/>
                <w:sz w:val="26"/>
                <w:rtl/>
              </w:rPr>
              <w:t>תיקון סעיף 188</w:t>
            </w:r>
          </w:p>
        </w:tc>
        <w:tc>
          <w:tcPr>
            <w:tcW w:w="544" w:type="dxa"/>
            <w:gridSpan w:val="2"/>
            <w:tcBorders>
              <w:top w:val="nil"/>
              <w:left w:val="nil"/>
              <w:bottom w:val="nil"/>
              <w:right w:val="nil"/>
            </w:tcBorders>
          </w:tcPr>
          <w:p w14:paraId="3321E189" w14:textId="77777777" w:rsidR="003150AC" w:rsidRPr="003150AC" w:rsidRDefault="003150AC" w:rsidP="00D276AD">
            <w:pPr>
              <w:pStyle w:val="TableText"/>
              <w:rPr>
                <w:rFonts w:ascii="David" w:hAnsi="David"/>
                <w:sz w:val="26"/>
                <w:rtl/>
              </w:rPr>
            </w:pPr>
            <w:r w:rsidRPr="003150AC">
              <w:rPr>
                <w:rFonts w:ascii="David" w:hAnsi="David"/>
                <w:sz w:val="26"/>
                <w:rtl/>
              </w:rPr>
              <w:t>7.</w:t>
            </w:r>
          </w:p>
        </w:tc>
        <w:tc>
          <w:tcPr>
            <w:tcW w:w="6206" w:type="dxa"/>
            <w:gridSpan w:val="9"/>
            <w:tcBorders>
              <w:top w:val="nil"/>
              <w:left w:val="nil"/>
              <w:bottom w:val="nil"/>
              <w:right w:val="nil"/>
            </w:tcBorders>
          </w:tcPr>
          <w:p w14:paraId="35D60DAD" w14:textId="1FFD78F1" w:rsidR="0033694F" w:rsidRDefault="00144285" w:rsidP="008C0560">
            <w:pPr>
              <w:pStyle w:val="TableBlock"/>
              <w:numPr>
                <w:ilvl w:val="0"/>
                <w:numId w:val="55"/>
              </w:numPr>
              <w:tabs>
                <w:tab w:val="left" w:pos="624"/>
              </w:tabs>
              <w:rPr>
                <w:rFonts w:ascii="David" w:hAnsi="David"/>
                <w:sz w:val="26"/>
                <w:rtl/>
              </w:rPr>
            </w:pPr>
            <w:r>
              <w:rPr>
                <w:rFonts w:ascii="David" w:hAnsi="David" w:hint="cs"/>
                <w:sz w:val="26"/>
                <w:rtl/>
              </w:rPr>
              <w:t>בסעיף 188 לפקודה</w:t>
            </w:r>
            <w:r w:rsidR="001F5B28">
              <w:rPr>
                <w:rFonts w:ascii="David" w:hAnsi="David" w:hint="cs"/>
                <w:sz w:val="26"/>
                <w:rtl/>
              </w:rPr>
              <w:t xml:space="preserve"> </w:t>
            </w:r>
            <w:r w:rsidR="004B24C8">
              <w:rPr>
                <w:rFonts w:ascii="David" w:hAnsi="David" w:hint="cs"/>
                <w:sz w:val="26"/>
                <w:rtl/>
              </w:rPr>
              <w:t xml:space="preserve">- </w:t>
            </w:r>
          </w:p>
          <w:p w14:paraId="6FD77592" w14:textId="77777777" w:rsidR="003150AC" w:rsidRPr="003150AC" w:rsidRDefault="003150AC" w:rsidP="001F5B28">
            <w:pPr>
              <w:pStyle w:val="TableBlock"/>
              <w:rPr>
                <w:rFonts w:ascii="David" w:hAnsi="David"/>
                <w:sz w:val="26"/>
              </w:rPr>
            </w:pPr>
          </w:p>
        </w:tc>
      </w:tr>
      <w:tr w:rsidR="00144285" w14:paraId="3D53F52A" w14:textId="77777777" w:rsidTr="006E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PrEx>
        <w:trPr>
          <w:cantSplit/>
          <w:trHeight w:val="60"/>
        </w:trPr>
        <w:tc>
          <w:tcPr>
            <w:tcW w:w="1623" w:type="dxa"/>
            <w:gridSpan w:val="3"/>
          </w:tcPr>
          <w:p w14:paraId="31C6C471" w14:textId="77777777" w:rsidR="00144285" w:rsidRDefault="00144285">
            <w:pPr>
              <w:pStyle w:val="TableSideHeading"/>
            </w:pPr>
          </w:p>
        </w:tc>
        <w:tc>
          <w:tcPr>
            <w:tcW w:w="567" w:type="dxa"/>
            <w:gridSpan w:val="4"/>
          </w:tcPr>
          <w:p w14:paraId="316AE357" w14:textId="77777777" w:rsidR="00144285" w:rsidRDefault="00144285">
            <w:pPr>
              <w:pStyle w:val="TableText"/>
            </w:pPr>
          </w:p>
        </w:tc>
        <w:tc>
          <w:tcPr>
            <w:tcW w:w="748" w:type="dxa"/>
            <w:gridSpan w:val="4"/>
          </w:tcPr>
          <w:p w14:paraId="6CA06019" w14:textId="77777777" w:rsidR="00144285" w:rsidRDefault="00144285">
            <w:pPr>
              <w:pStyle w:val="TableText"/>
            </w:pPr>
          </w:p>
        </w:tc>
        <w:tc>
          <w:tcPr>
            <w:tcW w:w="5486" w:type="dxa"/>
            <w:gridSpan w:val="5"/>
          </w:tcPr>
          <w:p w14:paraId="5F939F52" w14:textId="09BA0687" w:rsidR="00144285" w:rsidRDefault="00144285" w:rsidP="00144285">
            <w:pPr>
              <w:pStyle w:val="TableBlock"/>
              <w:numPr>
                <w:ilvl w:val="0"/>
                <w:numId w:val="60"/>
              </w:numPr>
              <w:tabs>
                <w:tab w:val="left" w:pos="624"/>
              </w:tabs>
            </w:pPr>
            <w:r>
              <w:rPr>
                <w:rFonts w:hint="cs"/>
                <w:rtl/>
              </w:rPr>
              <w:t xml:space="preserve">סעיף קטן (ג) </w:t>
            </w:r>
            <w:r>
              <w:rPr>
                <w:rtl/>
              </w:rPr>
              <w:t>–</w:t>
            </w:r>
            <w:r>
              <w:rPr>
                <w:rFonts w:hint="cs"/>
                <w:rtl/>
              </w:rPr>
              <w:t xml:space="preserve"> בטל;</w:t>
            </w:r>
          </w:p>
        </w:tc>
      </w:tr>
      <w:tr w:rsidR="00144285" w14:paraId="330C8BFE" w14:textId="77777777" w:rsidTr="006E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PrEx>
        <w:trPr>
          <w:cantSplit/>
          <w:trHeight w:val="60"/>
        </w:trPr>
        <w:tc>
          <w:tcPr>
            <w:tcW w:w="1623" w:type="dxa"/>
            <w:gridSpan w:val="3"/>
          </w:tcPr>
          <w:p w14:paraId="2348A20F" w14:textId="77777777" w:rsidR="00144285" w:rsidRDefault="00144285">
            <w:pPr>
              <w:pStyle w:val="TableSideHeading"/>
            </w:pPr>
          </w:p>
        </w:tc>
        <w:tc>
          <w:tcPr>
            <w:tcW w:w="567" w:type="dxa"/>
            <w:gridSpan w:val="4"/>
          </w:tcPr>
          <w:p w14:paraId="347DE188" w14:textId="77777777" w:rsidR="00144285" w:rsidRDefault="00144285" w:rsidP="00144285">
            <w:pPr>
              <w:pStyle w:val="TableText"/>
            </w:pPr>
          </w:p>
        </w:tc>
        <w:tc>
          <w:tcPr>
            <w:tcW w:w="748" w:type="dxa"/>
            <w:gridSpan w:val="4"/>
          </w:tcPr>
          <w:p w14:paraId="5C41EE34" w14:textId="77777777" w:rsidR="00144285" w:rsidRDefault="00144285">
            <w:pPr>
              <w:pStyle w:val="TableText"/>
            </w:pPr>
          </w:p>
        </w:tc>
        <w:tc>
          <w:tcPr>
            <w:tcW w:w="5486" w:type="dxa"/>
            <w:gridSpan w:val="5"/>
          </w:tcPr>
          <w:p w14:paraId="685C2BE3" w14:textId="3DFCD719" w:rsidR="00144285" w:rsidRDefault="00144285" w:rsidP="00144285">
            <w:pPr>
              <w:pStyle w:val="TableBlock"/>
              <w:numPr>
                <w:ilvl w:val="0"/>
                <w:numId w:val="60"/>
              </w:numPr>
              <w:tabs>
                <w:tab w:val="left" w:pos="624"/>
              </w:tabs>
              <w:rPr>
                <w:rtl/>
              </w:rPr>
            </w:pPr>
            <w:r w:rsidRPr="003150AC">
              <w:rPr>
                <w:rFonts w:ascii="David" w:hAnsi="David"/>
                <w:sz w:val="26"/>
                <w:rtl/>
              </w:rPr>
              <w:t>בסעיף קטן (ד), אחרי "עד 166" יבוא "171 ו- 181ב".</w:t>
            </w:r>
          </w:p>
        </w:tc>
      </w:tr>
      <w:tr w:rsidR="003150AC" w:rsidRPr="003150AC" w14:paraId="6D8D98B7" w14:textId="77777777" w:rsidTr="001E0B49">
        <w:trPr>
          <w:gridAfter w:val="1"/>
          <w:wAfter w:w="39" w:type="dxa"/>
          <w:trHeight w:val="60"/>
        </w:trPr>
        <w:tc>
          <w:tcPr>
            <w:tcW w:w="1635" w:type="dxa"/>
            <w:gridSpan w:val="4"/>
            <w:tcBorders>
              <w:top w:val="nil"/>
              <w:left w:val="nil"/>
              <w:bottom w:val="nil"/>
              <w:right w:val="nil"/>
            </w:tcBorders>
          </w:tcPr>
          <w:p w14:paraId="3C787D5D" w14:textId="77777777" w:rsidR="003150AC" w:rsidRPr="003150AC" w:rsidRDefault="003150AC" w:rsidP="00D276AD">
            <w:pPr>
              <w:pStyle w:val="TableSideHeading"/>
              <w:rPr>
                <w:rFonts w:ascii="David" w:hAnsi="David"/>
                <w:sz w:val="26"/>
                <w:rtl/>
              </w:rPr>
            </w:pPr>
            <w:r w:rsidRPr="003150AC">
              <w:rPr>
                <w:rFonts w:ascii="David" w:hAnsi="David"/>
                <w:sz w:val="26"/>
                <w:rtl/>
              </w:rPr>
              <w:t>תחילה ותחולה</w:t>
            </w:r>
          </w:p>
        </w:tc>
        <w:tc>
          <w:tcPr>
            <w:tcW w:w="544" w:type="dxa"/>
            <w:gridSpan w:val="2"/>
            <w:tcBorders>
              <w:top w:val="nil"/>
              <w:left w:val="nil"/>
              <w:bottom w:val="nil"/>
              <w:right w:val="nil"/>
            </w:tcBorders>
          </w:tcPr>
          <w:p w14:paraId="756E3279" w14:textId="3AB4DE04" w:rsidR="003150AC" w:rsidRPr="003150AC" w:rsidRDefault="00AA7EFF" w:rsidP="00AA7EFF">
            <w:pPr>
              <w:pStyle w:val="TableText"/>
              <w:rPr>
                <w:rFonts w:ascii="David" w:hAnsi="David"/>
                <w:sz w:val="26"/>
                <w:rtl/>
              </w:rPr>
            </w:pPr>
            <w:r>
              <w:rPr>
                <w:rFonts w:ascii="David" w:hAnsi="David" w:hint="cs"/>
                <w:sz w:val="26"/>
                <w:rtl/>
              </w:rPr>
              <w:t>8.</w:t>
            </w:r>
          </w:p>
        </w:tc>
        <w:tc>
          <w:tcPr>
            <w:tcW w:w="6206" w:type="dxa"/>
            <w:gridSpan w:val="9"/>
            <w:tcBorders>
              <w:top w:val="nil"/>
              <w:left w:val="nil"/>
              <w:bottom w:val="nil"/>
              <w:right w:val="nil"/>
            </w:tcBorders>
          </w:tcPr>
          <w:p w14:paraId="1F93360F" w14:textId="43F56E79" w:rsidR="003150AC" w:rsidRPr="003150AC" w:rsidRDefault="003150AC" w:rsidP="006617BE">
            <w:pPr>
              <w:pStyle w:val="TableBlock"/>
              <w:rPr>
                <w:rFonts w:ascii="David" w:hAnsi="David"/>
                <w:sz w:val="26"/>
              </w:rPr>
            </w:pPr>
            <w:r w:rsidRPr="003150AC">
              <w:rPr>
                <w:rFonts w:ascii="David" w:hAnsi="David"/>
                <w:sz w:val="26"/>
                <w:rtl/>
              </w:rPr>
              <w:t xml:space="preserve">תחילתו של </w:t>
            </w:r>
            <w:r w:rsidR="006617BE">
              <w:rPr>
                <w:rFonts w:ascii="David" w:hAnsi="David" w:hint="cs"/>
                <w:sz w:val="26"/>
                <w:rtl/>
              </w:rPr>
              <w:t>חוק</w:t>
            </w:r>
            <w:r w:rsidRPr="003150AC">
              <w:rPr>
                <w:rFonts w:ascii="David" w:hAnsi="David"/>
                <w:sz w:val="26"/>
                <w:rtl/>
              </w:rPr>
              <w:t xml:space="preserve"> זה ביום י"ד בטבת התשע"ח (1 בינואר 2018), והוא יחול על </w:t>
            </w:r>
            <w:r w:rsidR="001F5B28">
              <w:rPr>
                <w:rFonts w:ascii="David" w:hAnsi="David" w:hint="cs"/>
                <w:sz w:val="26"/>
                <w:rtl/>
              </w:rPr>
              <w:t>ה</w:t>
            </w:r>
            <w:r w:rsidRPr="003150AC">
              <w:rPr>
                <w:rFonts w:ascii="David" w:hAnsi="David"/>
                <w:sz w:val="26"/>
                <w:rtl/>
              </w:rPr>
              <w:t>דוחות שיש להגיש</w:t>
            </w:r>
            <w:r w:rsidR="001F5B28">
              <w:rPr>
                <w:rFonts w:ascii="David" w:hAnsi="David" w:hint="cs"/>
                <w:sz w:val="26"/>
                <w:rtl/>
              </w:rPr>
              <w:t>ם</w:t>
            </w:r>
            <w:r w:rsidRPr="003150AC">
              <w:rPr>
                <w:rFonts w:ascii="David" w:hAnsi="David"/>
                <w:sz w:val="26"/>
                <w:rtl/>
              </w:rPr>
              <w:t xml:space="preserve"> </w:t>
            </w:r>
            <w:r w:rsidR="00FD4DBB">
              <w:rPr>
                <w:rFonts w:ascii="David" w:hAnsi="David" w:hint="cs"/>
                <w:sz w:val="26"/>
                <w:rtl/>
              </w:rPr>
              <w:t>ל</w:t>
            </w:r>
            <w:r w:rsidRPr="003150AC">
              <w:rPr>
                <w:rFonts w:ascii="David" w:hAnsi="David"/>
                <w:sz w:val="26"/>
                <w:rtl/>
              </w:rPr>
              <w:t>שנת המס 2018 ואילך.</w:t>
            </w:r>
          </w:p>
        </w:tc>
      </w:tr>
    </w:tbl>
    <w:p w14:paraId="5CC0161E" w14:textId="77777777" w:rsidR="002F70CE" w:rsidRPr="003150AC" w:rsidRDefault="002F70CE" w:rsidP="00174475">
      <w:pPr>
        <w:pStyle w:val="HeadHatzaotHok"/>
        <w:keepNext w:val="0"/>
        <w:keepLines w:val="0"/>
        <w:jc w:val="both"/>
        <w:rPr>
          <w:rFonts w:ascii="David" w:hAnsi="David"/>
          <w:sz w:val="26"/>
          <w:rtl/>
        </w:rPr>
      </w:pPr>
    </w:p>
    <w:sectPr w:rsidR="002F70CE" w:rsidRPr="003150AC" w:rsidSect="001100D5">
      <w:footerReference w:type="even" r:id="rId11"/>
      <w:footerReference w:type="default" r:id="rId12"/>
      <w:pgSz w:w="11906" w:h="16838"/>
      <w:pgMar w:top="1440" w:right="1797" w:bottom="1440" w:left="1797"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C0CDB" w14:textId="77777777" w:rsidR="001C1523" w:rsidRDefault="001C1523" w:rsidP="00A72053">
      <w:pPr>
        <w:spacing w:before="0" w:line="240" w:lineRule="auto"/>
      </w:pPr>
      <w:r>
        <w:separator/>
      </w:r>
    </w:p>
  </w:endnote>
  <w:endnote w:type="continuationSeparator" w:id="0">
    <w:p w14:paraId="0FAF2A63" w14:textId="77777777" w:rsidR="001C1523" w:rsidRDefault="001C1523" w:rsidP="00A720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BD30" w14:textId="77777777" w:rsidR="009835C7" w:rsidRDefault="00E92E5D" w:rsidP="001100D5">
    <w:pPr>
      <w:pStyle w:val="a3"/>
      <w:framePr w:wrap="around" w:vAnchor="text" w:hAnchor="text" w:y="1"/>
      <w:rPr>
        <w:rStyle w:val="a7"/>
      </w:rPr>
    </w:pPr>
    <w:r>
      <w:rPr>
        <w:rStyle w:val="a7"/>
        <w:rtl/>
      </w:rPr>
      <w:fldChar w:fldCharType="begin"/>
    </w:r>
    <w:r w:rsidR="009835C7">
      <w:rPr>
        <w:rStyle w:val="a7"/>
      </w:rPr>
      <w:instrText xml:space="preserve">PAGE  </w:instrText>
    </w:r>
    <w:r>
      <w:rPr>
        <w:rStyle w:val="a7"/>
        <w:rtl/>
      </w:rPr>
      <w:fldChar w:fldCharType="end"/>
    </w:r>
  </w:p>
  <w:p w14:paraId="26679E66" w14:textId="77777777" w:rsidR="009835C7" w:rsidRDefault="009835C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1BB8C" w14:textId="74A31DF5" w:rsidR="009835C7" w:rsidRDefault="00E92E5D" w:rsidP="001100D5">
    <w:pPr>
      <w:pStyle w:val="a3"/>
      <w:framePr w:wrap="around" w:vAnchor="text" w:hAnchor="text" w:y="1"/>
      <w:rPr>
        <w:rStyle w:val="a7"/>
      </w:rPr>
    </w:pPr>
    <w:r>
      <w:rPr>
        <w:rStyle w:val="a7"/>
        <w:rtl/>
      </w:rPr>
      <w:fldChar w:fldCharType="begin"/>
    </w:r>
    <w:r w:rsidR="009835C7">
      <w:rPr>
        <w:rStyle w:val="a7"/>
      </w:rPr>
      <w:instrText xml:space="preserve">PAGE  </w:instrText>
    </w:r>
    <w:r>
      <w:rPr>
        <w:rStyle w:val="a7"/>
        <w:rtl/>
      </w:rPr>
      <w:fldChar w:fldCharType="separate"/>
    </w:r>
    <w:r w:rsidR="00636425">
      <w:rPr>
        <w:rStyle w:val="a7"/>
        <w:noProof/>
        <w:rtl/>
      </w:rPr>
      <w:t>2</w:t>
    </w:r>
    <w:r>
      <w:rPr>
        <w:rStyle w:val="a7"/>
        <w:rtl/>
      </w:rPr>
      <w:fldChar w:fldCharType="end"/>
    </w:r>
  </w:p>
  <w:p w14:paraId="4284BDDB" w14:textId="77777777" w:rsidR="009835C7" w:rsidRDefault="009835C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90321" w14:textId="77777777" w:rsidR="001C1523" w:rsidRDefault="001C1523" w:rsidP="00A72053">
      <w:pPr>
        <w:spacing w:before="0" w:line="240" w:lineRule="auto"/>
      </w:pPr>
      <w:r>
        <w:separator/>
      </w:r>
    </w:p>
  </w:footnote>
  <w:footnote w:type="continuationSeparator" w:id="0">
    <w:p w14:paraId="45481623" w14:textId="77777777" w:rsidR="001C1523" w:rsidRDefault="001C1523" w:rsidP="00A72053">
      <w:pPr>
        <w:spacing w:before="0" w:line="240" w:lineRule="auto"/>
      </w:pPr>
      <w:r>
        <w:continuationSeparator/>
      </w:r>
    </w:p>
  </w:footnote>
  <w:footnote w:id="1">
    <w:p w14:paraId="35E09C93" w14:textId="77777777" w:rsidR="00DD6B6B" w:rsidRDefault="00DD6B6B" w:rsidP="00DD6B6B">
      <w:pPr>
        <w:pStyle w:val="ae"/>
      </w:pPr>
      <w:r>
        <w:rPr>
          <w:rStyle w:val="af0"/>
        </w:rPr>
        <w:footnoteRef/>
      </w:r>
      <w:r>
        <w:rPr>
          <w:rtl/>
        </w:rPr>
        <w:t xml:space="preserve"> </w:t>
      </w:r>
      <w:r>
        <w:rPr>
          <w:rFonts w:hint="cs"/>
          <w:rtl/>
        </w:rPr>
        <w:t xml:space="preserve">דיני מדינת ישראל נוסח חדש 6, עמ' 120.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D2C"/>
    <w:multiLevelType w:val="hybridMultilevel"/>
    <w:tmpl w:val="C074C2A6"/>
    <w:lvl w:ilvl="0" w:tplc="50DA3B3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11EF"/>
    <w:multiLevelType w:val="hybridMultilevel"/>
    <w:tmpl w:val="681EB5E4"/>
    <w:lvl w:ilvl="0" w:tplc="B45EFC4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12909"/>
    <w:multiLevelType w:val="hybridMultilevel"/>
    <w:tmpl w:val="113EBA54"/>
    <w:lvl w:ilvl="0" w:tplc="737CBCF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02D6E"/>
    <w:multiLevelType w:val="hybridMultilevel"/>
    <w:tmpl w:val="21762F54"/>
    <w:lvl w:ilvl="0" w:tplc="8ED27E5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55CE3"/>
    <w:multiLevelType w:val="hybridMultilevel"/>
    <w:tmpl w:val="854E85BC"/>
    <w:lvl w:ilvl="0" w:tplc="0746416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C52A5"/>
    <w:multiLevelType w:val="hybridMultilevel"/>
    <w:tmpl w:val="7F7C4992"/>
    <w:lvl w:ilvl="0" w:tplc="FEE6559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E4EC8"/>
    <w:multiLevelType w:val="hybridMultilevel"/>
    <w:tmpl w:val="3AE23816"/>
    <w:lvl w:ilvl="0" w:tplc="04090013">
      <w:start w:val="1"/>
      <w:numFmt w:val="hebrew1"/>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15:restartNumberingAfterBreak="0">
    <w:nsid w:val="0C026974"/>
    <w:multiLevelType w:val="hybridMultilevel"/>
    <w:tmpl w:val="562C454E"/>
    <w:lvl w:ilvl="0" w:tplc="4DCCE61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D4E14"/>
    <w:multiLevelType w:val="hybridMultilevel"/>
    <w:tmpl w:val="13A4D302"/>
    <w:lvl w:ilvl="0" w:tplc="D286FC5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D68F1"/>
    <w:multiLevelType w:val="hybridMultilevel"/>
    <w:tmpl w:val="66B0E25A"/>
    <w:lvl w:ilvl="0" w:tplc="B4A0FAB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717F6"/>
    <w:multiLevelType w:val="hybridMultilevel"/>
    <w:tmpl w:val="FC0CF5DC"/>
    <w:lvl w:ilvl="0" w:tplc="81EE07A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F00E1"/>
    <w:multiLevelType w:val="hybridMultilevel"/>
    <w:tmpl w:val="F1CE129E"/>
    <w:lvl w:ilvl="0" w:tplc="02F60D28">
      <w:start w:val="4"/>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20ED3"/>
    <w:multiLevelType w:val="hybridMultilevel"/>
    <w:tmpl w:val="B1882D8E"/>
    <w:lvl w:ilvl="0" w:tplc="AE80F928">
      <w:start w:val="3"/>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265B6"/>
    <w:multiLevelType w:val="hybridMultilevel"/>
    <w:tmpl w:val="89A63120"/>
    <w:lvl w:ilvl="0" w:tplc="1D3E29C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F4708"/>
    <w:multiLevelType w:val="hybridMultilevel"/>
    <w:tmpl w:val="8E028AE6"/>
    <w:lvl w:ilvl="0" w:tplc="8286ACD0">
      <w:start w:val="2"/>
      <w:numFmt w:val="decimal"/>
      <w:lvlRestart w:val="0"/>
      <w:lvlText w:val="(%1)"/>
      <w:lvlJc w:val="left"/>
      <w:pPr>
        <w:tabs>
          <w:tab w:val="num" w:pos="857"/>
        </w:tabs>
        <w:ind w:left="23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D0D1F"/>
    <w:multiLevelType w:val="hybridMultilevel"/>
    <w:tmpl w:val="BACA5076"/>
    <w:lvl w:ilvl="0" w:tplc="2C28448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11284"/>
    <w:multiLevelType w:val="hybridMultilevel"/>
    <w:tmpl w:val="22A6B094"/>
    <w:lvl w:ilvl="0" w:tplc="A15E1954">
      <w:start w:val="1"/>
      <w:numFmt w:val="decimal"/>
      <w:lvlRestart w:val="0"/>
      <w:lvlText w:val="(%1)"/>
      <w:lvlJc w:val="left"/>
      <w:pPr>
        <w:tabs>
          <w:tab w:val="num" w:pos="624"/>
        </w:tabs>
        <w:ind w:left="0" w:firstLine="0"/>
      </w:pPr>
      <w:rPr>
        <w:rFonts w:asciiTheme="minorBidi" w:hAnsiTheme="minorBidi"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965AC"/>
    <w:multiLevelType w:val="hybridMultilevel"/>
    <w:tmpl w:val="A0E023AE"/>
    <w:lvl w:ilvl="0" w:tplc="C088B7A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52113"/>
    <w:multiLevelType w:val="hybridMultilevel"/>
    <w:tmpl w:val="3580D7C2"/>
    <w:lvl w:ilvl="0" w:tplc="2ADEF0FA">
      <w:start w:val="7"/>
      <w:numFmt w:val="decimal"/>
      <w:lvlText w:val="%1."/>
      <w:lvlJc w:val="left"/>
      <w:pPr>
        <w:tabs>
          <w:tab w:val="num" w:pos="233"/>
        </w:tabs>
        <w:ind w:left="23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344E34"/>
    <w:multiLevelType w:val="hybridMultilevel"/>
    <w:tmpl w:val="B3A67FF0"/>
    <w:lvl w:ilvl="0" w:tplc="E090980A">
      <w:start w:val="5"/>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4386C"/>
    <w:multiLevelType w:val="hybridMultilevel"/>
    <w:tmpl w:val="8C6229A8"/>
    <w:lvl w:ilvl="0" w:tplc="C33EBD0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26F06"/>
    <w:multiLevelType w:val="hybridMultilevel"/>
    <w:tmpl w:val="22404AD2"/>
    <w:lvl w:ilvl="0" w:tplc="0A5E1E98">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6170B9"/>
    <w:multiLevelType w:val="hybridMultilevel"/>
    <w:tmpl w:val="9216D6D2"/>
    <w:lvl w:ilvl="0" w:tplc="4CEC529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B3E48"/>
    <w:multiLevelType w:val="hybridMultilevel"/>
    <w:tmpl w:val="24AAF95A"/>
    <w:lvl w:ilvl="0" w:tplc="2DFEAF8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FA4B13"/>
    <w:multiLevelType w:val="hybridMultilevel"/>
    <w:tmpl w:val="B55E553A"/>
    <w:lvl w:ilvl="0" w:tplc="CC72B55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6B1BA6"/>
    <w:multiLevelType w:val="hybridMultilevel"/>
    <w:tmpl w:val="E1CA81EC"/>
    <w:lvl w:ilvl="0" w:tplc="7526959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C87C99"/>
    <w:multiLevelType w:val="hybridMultilevel"/>
    <w:tmpl w:val="99AABDAE"/>
    <w:lvl w:ilvl="0" w:tplc="7C00977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5D3C06"/>
    <w:multiLevelType w:val="hybridMultilevel"/>
    <w:tmpl w:val="C794044E"/>
    <w:lvl w:ilvl="0" w:tplc="58E26954">
      <w:start w:val="2"/>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842D97"/>
    <w:multiLevelType w:val="hybridMultilevel"/>
    <w:tmpl w:val="78945982"/>
    <w:lvl w:ilvl="0" w:tplc="E298A29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EA7285"/>
    <w:multiLevelType w:val="hybridMultilevel"/>
    <w:tmpl w:val="A3D2304C"/>
    <w:lvl w:ilvl="0" w:tplc="C4A0B7C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D77535"/>
    <w:multiLevelType w:val="hybridMultilevel"/>
    <w:tmpl w:val="AB64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696F80"/>
    <w:multiLevelType w:val="hybridMultilevel"/>
    <w:tmpl w:val="AAB68060"/>
    <w:lvl w:ilvl="0" w:tplc="2E0E2EA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9D714B"/>
    <w:multiLevelType w:val="hybridMultilevel"/>
    <w:tmpl w:val="1BBE97FE"/>
    <w:lvl w:ilvl="0" w:tplc="1D44197C">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B0125B"/>
    <w:multiLevelType w:val="hybridMultilevel"/>
    <w:tmpl w:val="B2249F10"/>
    <w:lvl w:ilvl="0" w:tplc="7188EC4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74522D"/>
    <w:multiLevelType w:val="hybridMultilevel"/>
    <w:tmpl w:val="B9E2886E"/>
    <w:lvl w:ilvl="0" w:tplc="6FCA35C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4470AB"/>
    <w:multiLevelType w:val="hybridMultilevel"/>
    <w:tmpl w:val="63D08B60"/>
    <w:lvl w:ilvl="0" w:tplc="6D84F27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2C7249"/>
    <w:multiLevelType w:val="hybridMultilevel"/>
    <w:tmpl w:val="478AFC82"/>
    <w:lvl w:ilvl="0" w:tplc="2530EFC2">
      <w:start w:val="6"/>
      <w:numFmt w:val="decimal"/>
      <w:lvlText w:val="%1."/>
      <w:lvlJc w:val="left"/>
      <w:pPr>
        <w:tabs>
          <w:tab w:val="num" w:pos="233"/>
        </w:tabs>
        <w:ind w:left="23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235183"/>
    <w:multiLevelType w:val="hybridMultilevel"/>
    <w:tmpl w:val="BB5C450A"/>
    <w:lvl w:ilvl="0" w:tplc="61BE290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F957AC"/>
    <w:multiLevelType w:val="hybridMultilevel"/>
    <w:tmpl w:val="555657E8"/>
    <w:lvl w:ilvl="0" w:tplc="9A009DAE">
      <w:start w:val="1"/>
      <w:numFmt w:val="decimal"/>
      <w:lvlRestart w:val="0"/>
      <w:lvlText w:val="(%1)"/>
      <w:lvlJc w:val="left"/>
      <w:pPr>
        <w:tabs>
          <w:tab w:val="num" w:pos="857"/>
        </w:tabs>
        <w:ind w:left="233" w:firstLine="0"/>
      </w:pPr>
    </w:lvl>
    <w:lvl w:ilvl="1" w:tplc="04090019" w:tentative="1">
      <w:start w:val="1"/>
      <w:numFmt w:val="lowerLetter"/>
      <w:lvlText w:val="%2."/>
      <w:lvlJc w:val="left"/>
      <w:pPr>
        <w:ind w:left="1673" w:hanging="360"/>
      </w:pPr>
    </w:lvl>
    <w:lvl w:ilvl="2" w:tplc="0409001B" w:tentative="1">
      <w:start w:val="1"/>
      <w:numFmt w:val="lowerRoman"/>
      <w:lvlText w:val="%3."/>
      <w:lvlJc w:val="right"/>
      <w:pPr>
        <w:ind w:left="2393" w:hanging="180"/>
      </w:pPr>
    </w:lvl>
    <w:lvl w:ilvl="3" w:tplc="0409000F" w:tentative="1">
      <w:start w:val="1"/>
      <w:numFmt w:val="decimal"/>
      <w:lvlText w:val="%4."/>
      <w:lvlJc w:val="left"/>
      <w:pPr>
        <w:ind w:left="3113" w:hanging="360"/>
      </w:pPr>
    </w:lvl>
    <w:lvl w:ilvl="4" w:tplc="04090019" w:tentative="1">
      <w:start w:val="1"/>
      <w:numFmt w:val="lowerLetter"/>
      <w:lvlText w:val="%5."/>
      <w:lvlJc w:val="left"/>
      <w:pPr>
        <w:ind w:left="3833" w:hanging="360"/>
      </w:pPr>
    </w:lvl>
    <w:lvl w:ilvl="5" w:tplc="0409001B" w:tentative="1">
      <w:start w:val="1"/>
      <w:numFmt w:val="lowerRoman"/>
      <w:lvlText w:val="%6."/>
      <w:lvlJc w:val="right"/>
      <w:pPr>
        <w:ind w:left="4553" w:hanging="180"/>
      </w:pPr>
    </w:lvl>
    <w:lvl w:ilvl="6" w:tplc="0409000F" w:tentative="1">
      <w:start w:val="1"/>
      <w:numFmt w:val="decimal"/>
      <w:lvlText w:val="%7."/>
      <w:lvlJc w:val="left"/>
      <w:pPr>
        <w:ind w:left="5273" w:hanging="360"/>
      </w:pPr>
    </w:lvl>
    <w:lvl w:ilvl="7" w:tplc="04090019" w:tentative="1">
      <w:start w:val="1"/>
      <w:numFmt w:val="lowerLetter"/>
      <w:lvlText w:val="%8."/>
      <w:lvlJc w:val="left"/>
      <w:pPr>
        <w:ind w:left="5993" w:hanging="360"/>
      </w:pPr>
    </w:lvl>
    <w:lvl w:ilvl="8" w:tplc="0409001B" w:tentative="1">
      <w:start w:val="1"/>
      <w:numFmt w:val="lowerRoman"/>
      <w:lvlText w:val="%9."/>
      <w:lvlJc w:val="right"/>
      <w:pPr>
        <w:ind w:left="6713" w:hanging="180"/>
      </w:pPr>
    </w:lvl>
  </w:abstractNum>
  <w:abstractNum w:abstractNumId="39" w15:restartNumberingAfterBreak="0">
    <w:nsid w:val="472C1F82"/>
    <w:multiLevelType w:val="hybridMultilevel"/>
    <w:tmpl w:val="CEE4A3FA"/>
    <w:lvl w:ilvl="0" w:tplc="6706E3B8">
      <w:start w:val="6"/>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9848CD"/>
    <w:multiLevelType w:val="hybridMultilevel"/>
    <w:tmpl w:val="7E58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FD318A"/>
    <w:multiLevelType w:val="hybridMultilevel"/>
    <w:tmpl w:val="F2703670"/>
    <w:lvl w:ilvl="0" w:tplc="AFD03CC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122496"/>
    <w:multiLevelType w:val="hybridMultilevel"/>
    <w:tmpl w:val="8E4A423E"/>
    <w:lvl w:ilvl="0" w:tplc="7C16B364">
      <w:start w:val="2"/>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4C6189"/>
    <w:multiLevelType w:val="hybridMultilevel"/>
    <w:tmpl w:val="0B24AD3C"/>
    <w:lvl w:ilvl="0" w:tplc="EAB240CE">
      <w:start w:val="4"/>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4435F5"/>
    <w:multiLevelType w:val="hybridMultilevel"/>
    <w:tmpl w:val="544AFBCC"/>
    <w:lvl w:ilvl="0" w:tplc="9670BEF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1B713A"/>
    <w:multiLevelType w:val="hybridMultilevel"/>
    <w:tmpl w:val="358202AA"/>
    <w:lvl w:ilvl="0" w:tplc="A66027C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3D334E"/>
    <w:multiLevelType w:val="hybridMultilevel"/>
    <w:tmpl w:val="F936106A"/>
    <w:lvl w:ilvl="0" w:tplc="1ED8C84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F03BA1"/>
    <w:multiLevelType w:val="hybridMultilevel"/>
    <w:tmpl w:val="8D8CB558"/>
    <w:lvl w:ilvl="0" w:tplc="FDA8C4C8">
      <w:start w:val="7"/>
      <w:numFmt w:val="decimal"/>
      <w:lvlText w:val="%1."/>
      <w:lvlJc w:val="left"/>
      <w:pPr>
        <w:tabs>
          <w:tab w:val="num" w:pos="233"/>
        </w:tabs>
        <w:ind w:left="23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BF32A2"/>
    <w:multiLevelType w:val="hybridMultilevel"/>
    <w:tmpl w:val="7660CDA6"/>
    <w:lvl w:ilvl="0" w:tplc="A1781BA2">
      <w:start w:val="1"/>
      <w:numFmt w:val="decimal"/>
      <w:lvlRestart w:val="0"/>
      <w:lvlText w:val="(%1)"/>
      <w:lvlJc w:val="left"/>
      <w:pPr>
        <w:tabs>
          <w:tab w:val="num" w:pos="624"/>
        </w:tabs>
        <w:ind w:left="0" w:firstLine="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4537AE"/>
    <w:multiLevelType w:val="hybridMultilevel"/>
    <w:tmpl w:val="8F86A000"/>
    <w:lvl w:ilvl="0" w:tplc="4F7CDFA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6913AD"/>
    <w:multiLevelType w:val="hybridMultilevel"/>
    <w:tmpl w:val="6062061E"/>
    <w:lvl w:ilvl="0" w:tplc="ABE4D3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1B1104"/>
    <w:multiLevelType w:val="hybridMultilevel"/>
    <w:tmpl w:val="612673B0"/>
    <w:lvl w:ilvl="0" w:tplc="4E6C0E50">
      <w:start w:val="1"/>
      <w:numFmt w:val="hebrew1"/>
      <w:lvlText w:val="%1."/>
      <w:lvlJc w:val="left"/>
      <w:pPr>
        <w:tabs>
          <w:tab w:val="num" w:pos="390"/>
        </w:tabs>
        <w:ind w:left="390" w:hanging="39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BEE6A0C"/>
    <w:multiLevelType w:val="hybridMultilevel"/>
    <w:tmpl w:val="2416B9EC"/>
    <w:lvl w:ilvl="0" w:tplc="79E4A7A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7A1F89"/>
    <w:multiLevelType w:val="hybridMultilevel"/>
    <w:tmpl w:val="FD44C98A"/>
    <w:lvl w:ilvl="0" w:tplc="386A8C46">
      <w:start w:val="4"/>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7636A9E"/>
    <w:multiLevelType w:val="hybridMultilevel"/>
    <w:tmpl w:val="DBBA1EEC"/>
    <w:lvl w:ilvl="0" w:tplc="C372891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336364"/>
    <w:multiLevelType w:val="hybridMultilevel"/>
    <w:tmpl w:val="9028E96E"/>
    <w:lvl w:ilvl="0" w:tplc="39D0503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3929D7"/>
    <w:multiLevelType w:val="hybridMultilevel"/>
    <w:tmpl w:val="B046084E"/>
    <w:lvl w:ilvl="0" w:tplc="9882598E">
      <w:start w:val="3"/>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CA7B44"/>
    <w:multiLevelType w:val="hybridMultilevel"/>
    <w:tmpl w:val="6E58B90E"/>
    <w:lvl w:ilvl="0" w:tplc="7522F4C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292DD5"/>
    <w:multiLevelType w:val="hybridMultilevel"/>
    <w:tmpl w:val="254078BE"/>
    <w:lvl w:ilvl="0" w:tplc="96B06C0E">
      <w:start w:val="4"/>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21"/>
  </w:num>
  <w:num w:numId="3">
    <w:abstractNumId w:val="51"/>
  </w:num>
  <w:num w:numId="4">
    <w:abstractNumId w:val="32"/>
  </w:num>
  <w:num w:numId="5">
    <w:abstractNumId w:val="38"/>
  </w:num>
  <w:num w:numId="6">
    <w:abstractNumId w:val="17"/>
  </w:num>
  <w:num w:numId="7">
    <w:abstractNumId w:val="41"/>
  </w:num>
  <w:num w:numId="8">
    <w:abstractNumId w:val="14"/>
  </w:num>
  <w:num w:numId="9">
    <w:abstractNumId w:val="18"/>
  </w:num>
  <w:num w:numId="10">
    <w:abstractNumId w:val="45"/>
  </w:num>
  <w:num w:numId="11">
    <w:abstractNumId w:val="59"/>
  </w:num>
  <w:num w:numId="12">
    <w:abstractNumId w:val="11"/>
  </w:num>
  <w:num w:numId="13">
    <w:abstractNumId w:val="15"/>
  </w:num>
  <w:num w:numId="14">
    <w:abstractNumId w:val="31"/>
  </w:num>
  <w:num w:numId="15">
    <w:abstractNumId w:val="6"/>
  </w:num>
  <w:num w:numId="16">
    <w:abstractNumId w:val="16"/>
  </w:num>
  <w:num w:numId="17">
    <w:abstractNumId w:val="33"/>
  </w:num>
  <w:num w:numId="18">
    <w:abstractNumId w:val="24"/>
  </w:num>
  <w:num w:numId="19">
    <w:abstractNumId w:val="27"/>
  </w:num>
  <w:num w:numId="20">
    <w:abstractNumId w:val="13"/>
  </w:num>
  <w:num w:numId="21">
    <w:abstractNumId w:val="30"/>
  </w:num>
  <w:num w:numId="22">
    <w:abstractNumId w:val="40"/>
  </w:num>
  <w:num w:numId="23">
    <w:abstractNumId w:val="12"/>
  </w:num>
  <w:num w:numId="24">
    <w:abstractNumId w:val="36"/>
  </w:num>
  <w:num w:numId="25">
    <w:abstractNumId w:val="47"/>
  </w:num>
  <w:num w:numId="26">
    <w:abstractNumId w:val="4"/>
  </w:num>
  <w:num w:numId="27">
    <w:abstractNumId w:val="2"/>
  </w:num>
  <w:num w:numId="28">
    <w:abstractNumId w:val="43"/>
  </w:num>
  <w:num w:numId="29">
    <w:abstractNumId w:val="23"/>
  </w:num>
  <w:num w:numId="30">
    <w:abstractNumId w:val="53"/>
  </w:num>
  <w:num w:numId="31">
    <w:abstractNumId w:val="58"/>
  </w:num>
  <w:num w:numId="32">
    <w:abstractNumId w:val="49"/>
  </w:num>
  <w:num w:numId="33">
    <w:abstractNumId w:val="29"/>
  </w:num>
  <w:num w:numId="34">
    <w:abstractNumId w:val="0"/>
  </w:num>
  <w:num w:numId="35">
    <w:abstractNumId w:val="10"/>
  </w:num>
  <w:num w:numId="36">
    <w:abstractNumId w:val="5"/>
  </w:num>
  <w:num w:numId="37">
    <w:abstractNumId w:val="37"/>
  </w:num>
  <w:num w:numId="38">
    <w:abstractNumId w:val="26"/>
  </w:num>
  <w:num w:numId="39">
    <w:abstractNumId w:val="25"/>
  </w:num>
  <w:num w:numId="40">
    <w:abstractNumId w:val="39"/>
  </w:num>
  <w:num w:numId="41">
    <w:abstractNumId w:val="42"/>
  </w:num>
  <w:num w:numId="42">
    <w:abstractNumId w:val="57"/>
  </w:num>
  <w:num w:numId="43">
    <w:abstractNumId w:val="19"/>
  </w:num>
  <w:num w:numId="44">
    <w:abstractNumId w:val="7"/>
  </w:num>
  <w:num w:numId="45">
    <w:abstractNumId w:val="44"/>
  </w:num>
  <w:num w:numId="46">
    <w:abstractNumId w:val="1"/>
  </w:num>
  <w:num w:numId="47">
    <w:abstractNumId w:val="35"/>
  </w:num>
  <w:num w:numId="48">
    <w:abstractNumId w:val="9"/>
  </w:num>
  <w:num w:numId="49">
    <w:abstractNumId w:val="46"/>
  </w:num>
  <w:num w:numId="50">
    <w:abstractNumId w:val="52"/>
  </w:num>
  <w:num w:numId="51">
    <w:abstractNumId w:val="56"/>
  </w:num>
  <w:num w:numId="52">
    <w:abstractNumId w:val="22"/>
  </w:num>
  <w:num w:numId="53">
    <w:abstractNumId w:val="20"/>
  </w:num>
  <w:num w:numId="54">
    <w:abstractNumId w:val="48"/>
  </w:num>
  <w:num w:numId="55">
    <w:abstractNumId w:val="8"/>
  </w:num>
  <w:num w:numId="56">
    <w:abstractNumId w:val="50"/>
  </w:num>
  <w:num w:numId="57">
    <w:abstractNumId w:val="3"/>
  </w:num>
  <w:num w:numId="58">
    <w:abstractNumId w:val="55"/>
  </w:num>
  <w:num w:numId="59">
    <w:abstractNumId w:val="28"/>
  </w:num>
  <w:num w:numId="60">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CE"/>
    <w:rsid w:val="0000594C"/>
    <w:rsid w:val="000069B3"/>
    <w:rsid w:val="0001623F"/>
    <w:rsid w:val="00017E25"/>
    <w:rsid w:val="00022275"/>
    <w:rsid w:val="000246DA"/>
    <w:rsid w:val="0002608D"/>
    <w:rsid w:val="0002716D"/>
    <w:rsid w:val="00033BB3"/>
    <w:rsid w:val="0004199F"/>
    <w:rsid w:val="00042193"/>
    <w:rsid w:val="00044E8B"/>
    <w:rsid w:val="00053440"/>
    <w:rsid w:val="00055B01"/>
    <w:rsid w:val="00062DB3"/>
    <w:rsid w:val="00064EBA"/>
    <w:rsid w:val="00080E2E"/>
    <w:rsid w:val="0008243C"/>
    <w:rsid w:val="000852EA"/>
    <w:rsid w:val="000916C3"/>
    <w:rsid w:val="00095ED4"/>
    <w:rsid w:val="00097361"/>
    <w:rsid w:val="000A38A5"/>
    <w:rsid w:val="000A7A97"/>
    <w:rsid w:val="000B03A1"/>
    <w:rsid w:val="000B0690"/>
    <w:rsid w:val="000B6C60"/>
    <w:rsid w:val="000B74F5"/>
    <w:rsid w:val="000B7EE9"/>
    <w:rsid w:val="000D2995"/>
    <w:rsid w:val="000D7CE9"/>
    <w:rsid w:val="000E534E"/>
    <w:rsid w:val="000F2545"/>
    <w:rsid w:val="000F4F48"/>
    <w:rsid w:val="000F78E4"/>
    <w:rsid w:val="0010270E"/>
    <w:rsid w:val="001100D5"/>
    <w:rsid w:val="00120418"/>
    <w:rsid w:val="001252E0"/>
    <w:rsid w:val="00127736"/>
    <w:rsid w:val="00133FCB"/>
    <w:rsid w:val="001403BF"/>
    <w:rsid w:val="0014223D"/>
    <w:rsid w:val="00144285"/>
    <w:rsid w:val="00145372"/>
    <w:rsid w:val="00150108"/>
    <w:rsid w:val="00153ECD"/>
    <w:rsid w:val="001546B4"/>
    <w:rsid w:val="00156D37"/>
    <w:rsid w:val="001637D4"/>
    <w:rsid w:val="00165F89"/>
    <w:rsid w:val="00174475"/>
    <w:rsid w:val="00176441"/>
    <w:rsid w:val="00182440"/>
    <w:rsid w:val="00195016"/>
    <w:rsid w:val="001972C3"/>
    <w:rsid w:val="001A3AA2"/>
    <w:rsid w:val="001B2628"/>
    <w:rsid w:val="001C0CD7"/>
    <w:rsid w:val="001C1523"/>
    <w:rsid w:val="001C155D"/>
    <w:rsid w:val="001D37C6"/>
    <w:rsid w:val="001D51B8"/>
    <w:rsid w:val="001E0B49"/>
    <w:rsid w:val="001E43C0"/>
    <w:rsid w:val="001F0344"/>
    <w:rsid w:val="001F3B29"/>
    <w:rsid w:val="001F5B28"/>
    <w:rsid w:val="0020240F"/>
    <w:rsid w:val="002047BE"/>
    <w:rsid w:val="00205982"/>
    <w:rsid w:val="00220A4D"/>
    <w:rsid w:val="00224EC8"/>
    <w:rsid w:val="002415B8"/>
    <w:rsid w:val="00246CDE"/>
    <w:rsid w:val="00252447"/>
    <w:rsid w:val="002531EB"/>
    <w:rsid w:val="002548A5"/>
    <w:rsid w:val="00255728"/>
    <w:rsid w:val="002577C1"/>
    <w:rsid w:val="00264345"/>
    <w:rsid w:val="00265F8C"/>
    <w:rsid w:val="0026637A"/>
    <w:rsid w:val="00266733"/>
    <w:rsid w:val="00270815"/>
    <w:rsid w:val="00275CFF"/>
    <w:rsid w:val="0027746F"/>
    <w:rsid w:val="0028240D"/>
    <w:rsid w:val="002841EB"/>
    <w:rsid w:val="00285B2E"/>
    <w:rsid w:val="0029298C"/>
    <w:rsid w:val="002A3A5B"/>
    <w:rsid w:val="002B2EF1"/>
    <w:rsid w:val="002B4A06"/>
    <w:rsid w:val="002B4C12"/>
    <w:rsid w:val="002C161E"/>
    <w:rsid w:val="002E5886"/>
    <w:rsid w:val="002F01DA"/>
    <w:rsid w:val="002F4145"/>
    <w:rsid w:val="002F4E0A"/>
    <w:rsid w:val="002F604E"/>
    <w:rsid w:val="002F70CE"/>
    <w:rsid w:val="00300B1F"/>
    <w:rsid w:val="003050C4"/>
    <w:rsid w:val="00307ED2"/>
    <w:rsid w:val="003150AC"/>
    <w:rsid w:val="00324E60"/>
    <w:rsid w:val="00326896"/>
    <w:rsid w:val="0033192E"/>
    <w:rsid w:val="00331A68"/>
    <w:rsid w:val="00334B52"/>
    <w:rsid w:val="00335BC9"/>
    <w:rsid w:val="0033694F"/>
    <w:rsid w:val="003433F8"/>
    <w:rsid w:val="00351CD0"/>
    <w:rsid w:val="00353E37"/>
    <w:rsid w:val="0035473E"/>
    <w:rsid w:val="0036033A"/>
    <w:rsid w:val="00360C7F"/>
    <w:rsid w:val="00370118"/>
    <w:rsid w:val="00372484"/>
    <w:rsid w:val="003801AC"/>
    <w:rsid w:val="00383528"/>
    <w:rsid w:val="00387405"/>
    <w:rsid w:val="00393AA6"/>
    <w:rsid w:val="003B2A8C"/>
    <w:rsid w:val="003D0855"/>
    <w:rsid w:val="003D6C03"/>
    <w:rsid w:val="003E268C"/>
    <w:rsid w:val="003E6305"/>
    <w:rsid w:val="003F60C3"/>
    <w:rsid w:val="00404D02"/>
    <w:rsid w:val="00406601"/>
    <w:rsid w:val="00415960"/>
    <w:rsid w:val="00417BAA"/>
    <w:rsid w:val="004222D2"/>
    <w:rsid w:val="00431553"/>
    <w:rsid w:val="00431BC6"/>
    <w:rsid w:val="004350F4"/>
    <w:rsid w:val="00435424"/>
    <w:rsid w:val="00450425"/>
    <w:rsid w:val="00455F33"/>
    <w:rsid w:val="004619A2"/>
    <w:rsid w:val="00462137"/>
    <w:rsid w:val="00467383"/>
    <w:rsid w:val="00467A86"/>
    <w:rsid w:val="004817BE"/>
    <w:rsid w:val="0049046A"/>
    <w:rsid w:val="004938E5"/>
    <w:rsid w:val="00495677"/>
    <w:rsid w:val="004A043F"/>
    <w:rsid w:val="004B118F"/>
    <w:rsid w:val="004B24C8"/>
    <w:rsid w:val="004B2A74"/>
    <w:rsid w:val="004B691A"/>
    <w:rsid w:val="004B7683"/>
    <w:rsid w:val="004C1F58"/>
    <w:rsid w:val="004D3CB7"/>
    <w:rsid w:val="004D5B30"/>
    <w:rsid w:val="004E4681"/>
    <w:rsid w:val="004E4D99"/>
    <w:rsid w:val="004E7F43"/>
    <w:rsid w:val="004F0641"/>
    <w:rsid w:val="004F1DB3"/>
    <w:rsid w:val="004F3C05"/>
    <w:rsid w:val="004F7CB6"/>
    <w:rsid w:val="005020A2"/>
    <w:rsid w:val="005261BA"/>
    <w:rsid w:val="00533E3A"/>
    <w:rsid w:val="00544694"/>
    <w:rsid w:val="0054661E"/>
    <w:rsid w:val="00546CC7"/>
    <w:rsid w:val="00555043"/>
    <w:rsid w:val="005571F8"/>
    <w:rsid w:val="00571844"/>
    <w:rsid w:val="00571B44"/>
    <w:rsid w:val="00575726"/>
    <w:rsid w:val="005814E6"/>
    <w:rsid w:val="0058388C"/>
    <w:rsid w:val="00591BEF"/>
    <w:rsid w:val="005A0ACF"/>
    <w:rsid w:val="005B5344"/>
    <w:rsid w:val="005C3813"/>
    <w:rsid w:val="005D34E2"/>
    <w:rsid w:val="005D7A01"/>
    <w:rsid w:val="005E5B3C"/>
    <w:rsid w:val="005E667A"/>
    <w:rsid w:val="005E778B"/>
    <w:rsid w:val="005F018B"/>
    <w:rsid w:val="005F1C56"/>
    <w:rsid w:val="005F3FD7"/>
    <w:rsid w:val="0061757E"/>
    <w:rsid w:val="00617922"/>
    <w:rsid w:val="00621630"/>
    <w:rsid w:val="00636425"/>
    <w:rsid w:val="00636871"/>
    <w:rsid w:val="00640923"/>
    <w:rsid w:val="0064161F"/>
    <w:rsid w:val="006453C2"/>
    <w:rsid w:val="006617BE"/>
    <w:rsid w:val="0067169C"/>
    <w:rsid w:val="006716F5"/>
    <w:rsid w:val="00672992"/>
    <w:rsid w:val="00672BB9"/>
    <w:rsid w:val="00683F86"/>
    <w:rsid w:val="00686F88"/>
    <w:rsid w:val="006871C7"/>
    <w:rsid w:val="00687B3B"/>
    <w:rsid w:val="0069376B"/>
    <w:rsid w:val="00693863"/>
    <w:rsid w:val="006A088E"/>
    <w:rsid w:val="006A2954"/>
    <w:rsid w:val="006A46F8"/>
    <w:rsid w:val="006B0308"/>
    <w:rsid w:val="006B79AE"/>
    <w:rsid w:val="006C51C9"/>
    <w:rsid w:val="006C5C65"/>
    <w:rsid w:val="006D0B42"/>
    <w:rsid w:val="006D2B4A"/>
    <w:rsid w:val="006D38ED"/>
    <w:rsid w:val="006D6469"/>
    <w:rsid w:val="006E16F8"/>
    <w:rsid w:val="006E3593"/>
    <w:rsid w:val="006E3F19"/>
    <w:rsid w:val="006E4779"/>
    <w:rsid w:val="006F533C"/>
    <w:rsid w:val="0070346D"/>
    <w:rsid w:val="00713C83"/>
    <w:rsid w:val="00713E71"/>
    <w:rsid w:val="00714105"/>
    <w:rsid w:val="00726DC2"/>
    <w:rsid w:val="00734AA0"/>
    <w:rsid w:val="00736D67"/>
    <w:rsid w:val="00737A9B"/>
    <w:rsid w:val="00752A3C"/>
    <w:rsid w:val="007561EF"/>
    <w:rsid w:val="00762CB2"/>
    <w:rsid w:val="00765546"/>
    <w:rsid w:val="007762AD"/>
    <w:rsid w:val="007768D2"/>
    <w:rsid w:val="00780BE2"/>
    <w:rsid w:val="00785416"/>
    <w:rsid w:val="00785B2B"/>
    <w:rsid w:val="0079053B"/>
    <w:rsid w:val="0079585F"/>
    <w:rsid w:val="007978EB"/>
    <w:rsid w:val="00797E5B"/>
    <w:rsid w:val="007A31BC"/>
    <w:rsid w:val="007A5479"/>
    <w:rsid w:val="007B27DE"/>
    <w:rsid w:val="007C333C"/>
    <w:rsid w:val="007C3716"/>
    <w:rsid w:val="007C6383"/>
    <w:rsid w:val="007C7F1B"/>
    <w:rsid w:val="007D5477"/>
    <w:rsid w:val="007E4B55"/>
    <w:rsid w:val="007E4F23"/>
    <w:rsid w:val="007F2871"/>
    <w:rsid w:val="007F5613"/>
    <w:rsid w:val="007F7A93"/>
    <w:rsid w:val="00801336"/>
    <w:rsid w:val="00803137"/>
    <w:rsid w:val="008051C9"/>
    <w:rsid w:val="00813164"/>
    <w:rsid w:val="00816379"/>
    <w:rsid w:val="008278DB"/>
    <w:rsid w:val="0083553C"/>
    <w:rsid w:val="00844132"/>
    <w:rsid w:val="008559AB"/>
    <w:rsid w:val="00871410"/>
    <w:rsid w:val="00872C77"/>
    <w:rsid w:val="008842D9"/>
    <w:rsid w:val="00887112"/>
    <w:rsid w:val="00887EDF"/>
    <w:rsid w:val="008A5849"/>
    <w:rsid w:val="008B663D"/>
    <w:rsid w:val="008C0560"/>
    <w:rsid w:val="008C1330"/>
    <w:rsid w:val="008C22BF"/>
    <w:rsid w:val="008C2CCE"/>
    <w:rsid w:val="008C3A58"/>
    <w:rsid w:val="008D33D4"/>
    <w:rsid w:val="008D717F"/>
    <w:rsid w:val="008E4B74"/>
    <w:rsid w:val="008F0FB5"/>
    <w:rsid w:val="0090512C"/>
    <w:rsid w:val="00913AE9"/>
    <w:rsid w:val="009222D9"/>
    <w:rsid w:val="00924774"/>
    <w:rsid w:val="0093279F"/>
    <w:rsid w:val="00932C43"/>
    <w:rsid w:val="009444A9"/>
    <w:rsid w:val="00950714"/>
    <w:rsid w:val="00962FE8"/>
    <w:rsid w:val="009636E8"/>
    <w:rsid w:val="0096403F"/>
    <w:rsid w:val="0097127B"/>
    <w:rsid w:val="00973C86"/>
    <w:rsid w:val="009751EE"/>
    <w:rsid w:val="00981B75"/>
    <w:rsid w:val="00981CEA"/>
    <w:rsid w:val="009835C7"/>
    <w:rsid w:val="009863EE"/>
    <w:rsid w:val="00997797"/>
    <w:rsid w:val="009A24C3"/>
    <w:rsid w:val="009A6CE3"/>
    <w:rsid w:val="009B5208"/>
    <w:rsid w:val="009B5811"/>
    <w:rsid w:val="009B5C2C"/>
    <w:rsid w:val="009C259D"/>
    <w:rsid w:val="009C29E2"/>
    <w:rsid w:val="009C53E7"/>
    <w:rsid w:val="009C63EF"/>
    <w:rsid w:val="009C77CF"/>
    <w:rsid w:val="009E057E"/>
    <w:rsid w:val="009E1FFF"/>
    <w:rsid w:val="009E24C1"/>
    <w:rsid w:val="009E5CF7"/>
    <w:rsid w:val="009F31B8"/>
    <w:rsid w:val="009F6BFD"/>
    <w:rsid w:val="009F7A9E"/>
    <w:rsid w:val="00A065DB"/>
    <w:rsid w:val="00A10673"/>
    <w:rsid w:val="00A10D04"/>
    <w:rsid w:val="00A120C2"/>
    <w:rsid w:val="00A12F15"/>
    <w:rsid w:val="00A203C6"/>
    <w:rsid w:val="00A21086"/>
    <w:rsid w:val="00A30EEB"/>
    <w:rsid w:val="00A438A0"/>
    <w:rsid w:val="00A46D12"/>
    <w:rsid w:val="00A5334D"/>
    <w:rsid w:val="00A54AED"/>
    <w:rsid w:val="00A5697E"/>
    <w:rsid w:val="00A611E7"/>
    <w:rsid w:val="00A61F39"/>
    <w:rsid w:val="00A67C4A"/>
    <w:rsid w:val="00A708B9"/>
    <w:rsid w:val="00A72053"/>
    <w:rsid w:val="00A738DD"/>
    <w:rsid w:val="00A75F71"/>
    <w:rsid w:val="00A77414"/>
    <w:rsid w:val="00A82BCF"/>
    <w:rsid w:val="00A91FA7"/>
    <w:rsid w:val="00AA2F20"/>
    <w:rsid w:val="00AA7EFF"/>
    <w:rsid w:val="00AB1DF4"/>
    <w:rsid w:val="00AB3C46"/>
    <w:rsid w:val="00AC1ADA"/>
    <w:rsid w:val="00AD1076"/>
    <w:rsid w:val="00AD1C77"/>
    <w:rsid w:val="00AD3685"/>
    <w:rsid w:val="00AD6698"/>
    <w:rsid w:val="00AD78DF"/>
    <w:rsid w:val="00AE047F"/>
    <w:rsid w:val="00AF2D17"/>
    <w:rsid w:val="00AF470E"/>
    <w:rsid w:val="00AF5D5E"/>
    <w:rsid w:val="00B10E38"/>
    <w:rsid w:val="00B148EC"/>
    <w:rsid w:val="00B16BF9"/>
    <w:rsid w:val="00B175DF"/>
    <w:rsid w:val="00B30BCB"/>
    <w:rsid w:val="00B31B8A"/>
    <w:rsid w:val="00B36A0F"/>
    <w:rsid w:val="00B43033"/>
    <w:rsid w:val="00B43BE1"/>
    <w:rsid w:val="00B50991"/>
    <w:rsid w:val="00B530E6"/>
    <w:rsid w:val="00B53FC3"/>
    <w:rsid w:val="00B57E5D"/>
    <w:rsid w:val="00B606E2"/>
    <w:rsid w:val="00B61006"/>
    <w:rsid w:val="00B6426B"/>
    <w:rsid w:val="00B653A6"/>
    <w:rsid w:val="00B76900"/>
    <w:rsid w:val="00B85B08"/>
    <w:rsid w:val="00B872C0"/>
    <w:rsid w:val="00B92EA5"/>
    <w:rsid w:val="00B97B3E"/>
    <w:rsid w:val="00BA5A12"/>
    <w:rsid w:val="00BA6156"/>
    <w:rsid w:val="00BB5C62"/>
    <w:rsid w:val="00BB6EDF"/>
    <w:rsid w:val="00BC0641"/>
    <w:rsid w:val="00BC426C"/>
    <w:rsid w:val="00BD09E9"/>
    <w:rsid w:val="00BD2C5C"/>
    <w:rsid w:val="00BD6AA2"/>
    <w:rsid w:val="00BE7F12"/>
    <w:rsid w:val="00BF25B0"/>
    <w:rsid w:val="00BF4CBC"/>
    <w:rsid w:val="00BF616E"/>
    <w:rsid w:val="00C075E0"/>
    <w:rsid w:val="00C07D0F"/>
    <w:rsid w:val="00C1177C"/>
    <w:rsid w:val="00C12A4C"/>
    <w:rsid w:val="00C2457C"/>
    <w:rsid w:val="00C2543C"/>
    <w:rsid w:val="00C317CE"/>
    <w:rsid w:val="00C32718"/>
    <w:rsid w:val="00C35C2C"/>
    <w:rsid w:val="00C35D23"/>
    <w:rsid w:val="00C36021"/>
    <w:rsid w:val="00C3769C"/>
    <w:rsid w:val="00C37B20"/>
    <w:rsid w:val="00C4307F"/>
    <w:rsid w:val="00C476A6"/>
    <w:rsid w:val="00C52F86"/>
    <w:rsid w:val="00C5523A"/>
    <w:rsid w:val="00C62B74"/>
    <w:rsid w:val="00C64286"/>
    <w:rsid w:val="00C675F4"/>
    <w:rsid w:val="00C73A5C"/>
    <w:rsid w:val="00C74745"/>
    <w:rsid w:val="00C8132D"/>
    <w:rsid w:val="00C81610"/>
    <w:rsid w:val="00C926EF"/>
    <w:rsid w:val="00C93449"/>
    <w:rsid w:val="00C96704"/>
    <w:rsid w:val="00CA0DF3"/>
    <w:rsid w:val="00CA11E6"/>
    <w:rsid w:val="00CA4B72"/>
    <w:rsid w:val="00CA64BB"/>
    <w:rsid w:val="00CB0E48"/>
    <w:rsid w:val="00CB5203"/>
    <w:rsid w:val="00CD1352"/>
    <w:rsid w:val="00CD41DC"/>
    <w:rsid w:val="00CE361F"/>
    <w:rsid w:val="00CE722F"/>
    <w:rsid w:val="00CF0D0C"/>
    <w:rsid w:val="00CF11A8"/>
    <w:rsid w:val="00CF4C99"/>
    <w:rsid w:val="00CF4CCB"/>
    <w:rsid w:val="00D03D65"/>
    <w:rsid w:val="00D0618B"/>
    <w:rsid w:val="00D1078D"/>
    <w:rsid w:val="00D12F7F"/>
    <w:rsid w:val="00D13901"/>
    <w:rsid w:val="00D20C5E"/>
    <w:rsid w:val="00D25BB4"/>
    <w:rsid w:val="00D27DE4"/>
    <w:rsid w:val="00D300C2"/>
    <w:rsid w:val="00D3356B"/>
    <w:rsid w:val="00D35E55"/>
    <w:rsid w:val="00D41C8E"/>
    <w:rsid w:val="00D42A7D"/>
    <w:rsid w:val="00D43692"/>
    <w:rsid w:val="00D55EA8"/>
    <w:rsid w:val="00D65273"/>
    <w:rsid w:val="00D6699A"/>
    <w:rsid w:val="00D729E6"/>
    <w:rsid w:val="00D74167"/>
    <w:rsid w:val="00D8076B"/>
    <w:rsid w:val="00D82C41"/>
    <w:rsid w:val="00D95B86"/>
    <w:rsid w:val="00D96C3D"/>
    <w:rsid w:val="00DA262E"/>
    <w:rsid w:val="00DA4713"/>
    <w:rsid w:val="00DB0F99"/>
    <w:rsid w:val="00DB77DC"/>
    <w:rsid w:val="00DC244F"/>
    <w:rsid w:val="00DC33F2"/>
    <w:rsid w:val="00DC3999"/>
    <w:rsid w:val="00DC7D3B"/>
    <w:rsid w:val="00DD42D4"/>
    <w:rsid w:val="00DD5B78"/>
    <w:rsid w:val="00DD6B6B"/>
    <w:rsid w:val="00DE3B7E"/>
    <w:rsid w:val="00DF2123"/>
    <w:rsid w:val="00DF3690"/>
    <w:rsid w:val="00DF4733"/>
    <w:rsid w:val="00E00D51"/>
    <w:rsid w:val="00E01BA9"/>
    <w:rsid w:val="00E03B73"/>
    <w:rsid w:val="00E10D62"/>
    <w:rsid w:val="00E14FCE"/>
    <w:rsid w:val="00E2201D"/>
    <w:rsid w:val="00E24BF9"/>
    <w:rsid w:val="00E27D6F"/>
    <w:rsid w:val="00E27FB6"/>
    <w:rsid w:val="00E321C4"/>
    <w:rsid w:val="00E37E9F"/>
    <w:rsid w:val="00E42D22"/>
    <w:rsid w:val="00E544EA"/>
    <w:rsid w:val="00E61E2F"/>
    <w:rsid w:val="00E62293"/>
    <w:rsid w:val="00E648A0"/>
    <w:rsid w:val="00E76E26"/>
    <w:rsid w:val="00E83623"/>
    <w:rsid w:val="00E87E5C"/>
    <w:rsid w:val="00E92E5D"/>
    <w:rsid w:val="00EA5597"/>
    <w:rsid w:val="00EA679D"/>
    <w:rsid w:val="00EA7FD1"/>
    <w:rsid w:val="00EB7B76"/>
    <w:rsid w:val="00EC03B9"/>
    <w:rsid w:val="00EC3730"/>
    <w:rsid w:val="00ED2922"/>
    <w:rsid w:val="00ED7609"/>
    <w:rsid w:val="00EE03B1"/>
    <w:rsid w:val="00EF1CC5"/>
    <w:rsid w:val="00EF3F5F"/>
    <w:rsid w:val="00F066A5"/>
    <w:rsid w:val="00F10B40"/>
    <w:rsid w:val="00F13BFA"/>
    <w:rsid w:val="00F13E21"/>
    <w:rsid w:val="00F14FFC"/>
    <w:rsid w:val="00F316D5"/>
    <w:rsid w:val="00F329ED"/>
    <w:rsid w:val="00F333CC"/>
    <w:rsid w:val="00F334A0"/>
    <w:rsid w:val="00F41FDA"/>
    <w:rsid w:val="00F43A77"/>
    <w:rsid w:val="00F43DFE"/>
    <w:rsid w:val="00F4785F"/>
    <w:rsid w:val="00F51A32"/>
    <w:rsid w:val="00F56B11"/>
    <w:rsid w:val="00F703C2"/>
    <w:rsid w:val="00F70E6F"/>
    <w:rsid w:val="00F726EC"/>
    <w:rsid w:val="00F758F7"/>
    <w:rsid w:val="00F77645"/>
    <w:rsid w:val="00F82A83"/>
    <w:rsid w:val="00F84CB4"/>
    <w:rsid w:val="00FA1DCC"/>
    <w:rsid w:val="00FC25BE"/>
    <w:rsid w:val="00FC2D89"/>
    <w:rsid w:val="00FC5901"/>
    <w:rsid w:val="00FC6499"/>
    <w:rsid w:val="00FD1F34"/>
    <w:rsid w:val="00FD4DBB"/>
    <w:rsid w:val="00FE1A87"/>
    <w:rsid w:val="00FE6F76"/>
    <w:rsid w:val="00FF15CC"/>
    <w:rsid w:val="00FF4A88"/>
    <w:rsid w:val="00FF5711"/>
    <w:rsid w:val="00FF5B8C"/>
    <w:rsid w:val="00FF5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AF66"/>
  <w15:docId w15:val="{1F92EB11-0DA7-46CE-A130-DAFC700B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0CE"/>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70CE"/>
    <w:pPr>
      <w:tabs>
        <w:tab w:val="center" w:pos="4153"/>
        <w:tab w:val="right" w:pos="8306"/>
      </w:tabs>
    </w:pPr>
  </w:style>
  <w:style w:type="character" w:customStyle="1" w:styleId="a4">
    <w:name w:val="כותרת תחתונה תו"/>
    <w:basedOn w:val="a0"/>
    <w:link w:val="a3"/>
    <w:rsid w:val="002F70CE"/>
    <w:rPr>
      <w:rFonts w:ascii="Hadasa Roso SL" w:eastAsia="MS Mincho" w:hAnsi="Hadasa Roso SL" w:cs="Hadasa Roso SL"/>
      <w:color w:val="000000"/>
      <w:spacing w:val="1"/>
      <w:sz w:val="17"/>
      <w:szCs w:val="17"/>
      <w:lang w:eastAsia="ja-JP"/>
    </w:rPr>
  </w:style>
  <w:style w:type="paragraph" w:customStyle="1" w:styleId="HeadMitparsemetBaze">
    <w:name w:val="Head MitparsemetBaze"/>
    <w:basedOn w:val="a"/>
    <w:uiPriority w:val="99"/>
    <w:rsid w:val="002F70CE"/>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F70CE"/>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TableText">
    <w:name w:val="Table Text"/>
    <w:basedOn w:val="a"/>
    <w:rsid w:val="002F70CE"/>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F70CE"/>
  </w:style>
  <w:style w:type="paragraph" w:customStyle="1" w:styleId="TableBlock">
    <w:name w:val="Table Block"/>
    <w:basedOn w:val="TableText"/>
    <w:rsid w:val="002F70CE"/>
    <w:pPr>
      <w:ind w:right="0"/>
      <w:jc w:val="both"/>
    </w:pPr>
  </w:style>
  <w:style w:type="paragraph" w:customStyle="1" w:styleId="TableInnerSideHeading">
    <w:name w:val="Table InnerSideHeading"/>
    <w:basedOn w:val="TableSideHeading"/>
    <w:rsid w:val="002F70CE"/>
  </w:style>
  <w:style w:type="paragraph" w:customStyle="1" w:styleId="Hesber">
    <w:name w:val="Hesber"/>
    <w:basedOn w:val="a"/>
    <w:rsid w:val="002F70CE"/>
    <w:pPr>
      <w:snapToGrid w:val="0"/>
      <w:spacing w:before="0" w:line="360" w:lineRule="auto"/>
    </w:pPr>
    <w:rPr>
      <w:rFonts w:ascii="Arial" w:eastAsia="Arial Unicode MS" w:hAnsi="Arial" w:cs="David"/>
      <w:snapToGrid w:val="0"/>
      <w:spacing w:val="0"/>
      <w:sz w:val="20"/>
      <w:szCs w:val="26"/>
    </w:rPr>
  </w:style>
  <w:style w:type="paragraph" w:customStyle="1" w:styleId="Hesber1st">
    <w:name w:val="Hesber 1st"/>
    <w:basedOn w:val="Hesber"/>
    <w:uiPriority w:val="99"/>
    <w:rsid w:val="002F70CE"/>
    <w:pPr>
      <w:tabs>
        <w:tab w:val="left" w:pos="680"/>
        <w:tab w:val="left" w:pos="1020"/>
      </w:tabs>
      <w:ind w:firstLine="0"/>
    </w:pPr>
  </w:style>
  <w:style w:type="paragraph" w:customStyle="1" w:styleId="HeadDivreiHesber">
    <w:name w:val="Head DivreiHesber"/>
    <w:basedOn w:val="a"/>
    <w:rsid w:val="002F70CE"/>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styleId="a5">
    <w:name w:val="annotation text"/>
    <w:basedOn w:val="a"/>
    <w:link w:val="a6"/>
    <w:semiHidden/>
    <w:rsid w:val="002F70CE"/>
    <w:rPr>
      <w:sz w:val="20"/>
      <w:szCs w:val="20"/>
    </w:rPr>
  </w:style>
  <w:style w:type="character" w:customStyle="1" w:styleId="a6">
    <w:name w:val="טקסט הערה תו"/>
    <w:basedOn w:val="a0"/>
    <w:link w:val="a5"/>
    <w:semiHidden/>
    <w:rsid w:val="002F70CE"/>
    <w:rPr>
      <w:rFonts w:ascii="Hadasa Roso SL" w:eastAsia="MS Mincho" w:hAnsi="Hadasa Roso SL" w:cs="Hadasa Roso SL"/>
      <w:color w:val="000000"/>
      <w:spacing w:val="1"/>
      <w:sz w:val="20"/>
      <w:szCs w:val="20"/>
      <w:lang w:eastAsia="ja-JP"/>
    </w:rPr>
  </w:style>
  <w:style w:type="character" w:styleId="a7">
    <w:name w:val="page number"/>
    <w:basedOn w:val="a0"/>
    <w:rsid w:val="002F70CE"/>
  </w:style>
  <w:style w:type="character" w:styleId="a8">
    <w:name w:val="annotation reference"/>
    <w:uiPriority w:val="99"/>
    <w:semiHidden/>
    <w:unhideWhenUsed/>
    <w:rsid w:val="002F70CE"/>
    <w:rPr>
      <w:sz w:val="16"/>
      <w:szCs w:val="16"/>
    </w:rPr>
  </w:style>
  <w:style w:type="paragraph" w:customStyle="1" w:styleId="TableBlockOutdent">
    <w:name w:val="Table BlockOutdent"/>
    <w:basedOn w:val="TableBlock"/>
    <w:rsid w:val="002F70CE"/>
    <w:pPr>
      <w:ind w:left="624" w:hanging="624"/>
    </w:pPr>
  </w:style>
  <w:style w:type="paragraph" w:styleId="a9">
    <w:name w:val="List Paragraph"/>
    <w:basedOn w:val="a"/>
    <w:link w:val="aa"/>
    <w:uiPriority w:val="34"/>
    <w:qFormat/>
    <w:rsid w:val="004B118F"/>
    <w:pPr>
      <w:widowControl/>
      <w:adjustRightInd/>
      <w:spacing w:before="0" w:line="240" w:lineRule="auto"/>
      <w:ind w:left="720" w:firstLine="0"/>
      <w:contextualSpacing/>
      <w:jc w:val="left"/>
      <w:textAlignment w:val="auto"/>
    </w:pPr>
    <w:rPr>
      <w:rFonts w:ascii="Courier New" w:eastAsia="Times New Roman" w:hAnsi="Courier New" w:cs="Times New Roman"/>
      <w:color w:val="auto"/>
      <w:spacing w:val="0"/>
      <w:sz w:val="20"/>
      <w:szCs w:val="20"/>
      <w:lang w:eastAsia="he-IL"/>
    </w:rPr>
  </w:style>
  <w:style w:type="character" w:customStyle="1" w:styleId="aa">
    <w:name w:val="פיסקת רשימה תו"/>
    <w:link w:val="a9"/>
    <w:uiPriority w:val="34"/>
    <w:locked/>
    <w:rsid w:val="004B118F"/>
    <w:rPr>
      <w:rFonts w:ascii="Courier New" w:eastAsia="Times New Roman" w:hAnsi="Courier New" w:cs="Times New Roman"/>
      <w:sz w:val="20"/>
      <w:szCs w:val="20"/>
      <w:lang w:eastAsia="he-IL"/>
    </w:rPr>
  </w:style>
  <w:style w:type="paragraph" w:styleId="ab">
    <w:name w:val="Revision"/>
    <w:hidden/>
    <w:uiPriority w:val="99"/>
    <w:semiHidden/>
    <w:rsid w:val="007F7A93"/>
    <w:pPr>
      <w:spacing w:after="0" w:line="240" w:lineRule="auto"/>
    </w:pPr>
    <w:rPr>
      <w:rFonts w:ascii="Hadasa Roso SL" w:eastAsia="MS Mincho" w:hAnsi="Hadasa Roso SL" w:cs="Hadasa Roso SL"/>
      <w:color w:val="000000"/>
      <w:spacing w:val="1"/>
      <w:sz w:val="17"/>
      <w:szCs w:val="17"/>
      <w:lang w:eastAsia="ja-JP"/>
    </w:rPr>
  </w:style>
  <w:style w:type="paragraph" w:styleId="ac">
    <w:name w:val="Balloon Text"/>
    <w:basedOn w:val="a"/>
    <w:link w:val="ad"/>
    <w:uiPriority w:val="99"/>
    <w:semiHidden/>
    <w:unhideWhenUsed/>
    <w:rsid w:val="007F7A93"/>
    <w:pPr>
      <w:spacing w:before="0" w:line="240" w:lineRule="auto"/>
    </w:pPr>
    <w:rPr>
      <w:rFonts w:ascii="Tahoma" w:hAnsi="Tahoma" w:cs="Tahoma"/>
      <w:sz w:val="16"/>
      <w:szCs w:val="16"/>
    </w:rPr>
  </w:style>
  <w:style w:type="character" w:customStyle="1" w:styleId="ad">
    <w:name w:val="טקסט בלונים תו"/>
    <w:basedOn w:val="a0"/>
    <w:link w:val="ac"/>
    <w:uiPriority w:val="99"/>
    <w:semiHidden/>
    <w:rsid w:val="007F7A93"/>
    <w:rPr>
      <w:rFonts w:ascii="Tahoma" w:eastAsia="MS Mincho" w:hAnsi="Tahoma" w:cs="Tahoma"/>
      <w:color w:val="000000"/>
      <w:spacing w:val="1"/>
      <w:sz w:val="16"/>
      <w:szCs w:val="16"/>
      <w:lang w:eastAsia="ja-JP"/>
    </w:rPr>
  </w:style>
  <w:style w:type="paragraph" w:styleId="ae">
    <w:name w:val="footnote text"/>
    <w:basedOn w:val="a"/>
    <w:link w:val="af"/>
    <w:uiPriority w:val="99"/>
    <w:semiHidden/>
    <w:unhideWhenUsed/>
    <w:rsid w:val="001546B4"/>
    <w:pPr>
      <w:spacing w:before="0" w:line="240" w:lineRule="auto"/>
    </w:pPr>
    <w:rPr>
      <w:sz w:val="20"/>
      <w:szCs w:val="20"/>
    </w:rPr>
  </w:style>
  <w:style w:type="character" w:customStyle="1" w:styleId="af">
    <w:name w:val="טקסט הערת שוליים תו"/>
    <w:basedOn w:val="a0"/>
    <w:link w:val="ae"/>
    <w:uiPriority w:val="99"/>
    <w:semiHidden/>
    <w:rsid w:val="001546B4"/>
    <w:rPr>
      <w:rFonts w:ascii="Hadasa Roso SL" w:eastAsia="MS Mincho" w:hAnsi="Hadasa Roso SL" w:cs="Hadasa Roso SL"/>
      <w:color w:val="000000"/>
      <w:spacing w:val="1"/>
      <w:sz w:val="20"/>
      <w:szCs w:val="20"/>
      <w:lang w:eastAsia="ja-JP"/>
    </w:rPr>
  </w:style>
  <w:style w:type="character" w:styleId="af0">
    <w:name w:val="footnote reference"/>
    <w:basedOn w:val="a0"/>
    <w:uiPriority w:val="99"/>
    <w:semiHidden/>
    <w:unhideWhenUsed/>
    <w:rsid w:val="001546B4"/>
    <w:rPr>
      <w:vertAlign w:val="superscript"/>
    </w:rPr>
  </w:style>
  <w:style w:type="character" w:customStyle="1" w:styleId="default">
    <w:name w:val="default"/>
    <w:basedOn w:val="a0"/>
    <w:rsid w:val="00F066A5"/>
    <w:rPr>
      <w:rFonts w:ascii="Times New Roman" w:hAnsi="Times New Roman" w:cs="Times New Roman"/>
      <w:sz w:val="26"/>
      <w:szCs w:val="26"/>
    </w:rPr>
  </w:style>
  <w:style w:type="paragraph" w:styleId="af1">
    <w:name w:val="annotation subject"/>
    <w:basedOn w:val="a5"/>
    <w:next w:val="a5"/>
    <w:link w:val="af2"/>
    <w:uiPriority w:val="99"/>
    <w:semiHidden/>
    <w:unhideWhenUsed/>
    <w:rsid w:val="002577C1"/>
    <w:pPr>
      <w:spacing w:line="240" w:lineRule="auto"/>
    </w:pPr>
    <w:rPr>
      <w:b/>
      <w:bCs/>
    </w:rPr>
  </w:style>
  <w:style w:type="character" w:customStyle="1" w:styleId="af2">
    <w:name w:val="נושא הערה תו"/>
    <w:basedOn w:val="a6"/>
    <w:link w:val="af1"/>
    <w:uiPriority w:val="99"/>
    <w:semiHidden/>
    <w:rsid w:val="002577C1"/>
    <w:rPr>
      <w:rFonts w:ascii="Hadasa Roso SL" w:eastAsia="MS Mincho" w:hAnsi="Hadasa Roso SL" w:cs="Hadasa Roso SL"/>
      <w:b/>
      <w:bCs/>
      <w:color w:val="000000"/>
      <w:spacing w:val="1"/>
      <w:sz w:val="20"/>
      <w:szCs w:val="20"/>
      <w:lang w:eastAsia="ja-JP"/>
    </w:rPr>
  </w:style>
  <w:style w:type="paragraph" w:customStyle="1" w:styleId="TableHead">
    <w:name w:val="Table Head"/>
    <w:basedOn w:val="TableText"/>
    <w:rsid w:val="003150AC"/>
    <w:pPr>
      <w:ind w:right="0"/>
      <w:jc w:val="center"/>
    </w:pPr>
    <w:rPr>
      <w:b/>
      <w:bCs/>
    </w:rPr>
  </w:style>
  <w:style w:type="paragraph" w:customStyle="1" w:styleId="P00">
    <w:name w:val="P00"/>
    <w:rsid w:val="003150A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fNumber xmlns="d2589617-2f74-4077-aee7-f516ed639388">43361</RefNumber>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7388C-2292-4B1A-A6DA-6CA91E9BCBDA}">
  <ds:schemaRefs>
    <ds:schemaRef ds:uri="http://schemas.microsoft.com/sharepoint/v3/contenttype/forms"/>
  </ds:schemaRefs>
</ds:datastoreItem>
</file>

<file path=customXml/itemProps2.xml><?xml version="1.0" encoding="utf-8"?>
<ds:datastoreItem xmlns:ds="http://schemas.openxmlformats.org/officeDocument/2006/customXml" ds:itemID="{BDDD5ABE-53C7-4482-A785-8112DF615516}">
  <ds:schemaRefs>
    <ds:schemaRef ds:uri="http://schemas.microsoft.com/office/2006/metadata/properties"/>
    <ds:schemaRef ds:uri="d2589617-2f74-4077-aee7-f516ed639388"/>
  </ds:schemaRefs>
</ds:datastoreItem>
</file>

<file path=customXml/itemProps3.xml><?xml version="1.0" encoding="utf-8"?>
<ds:datastoreItem xmlns:ds="http://schemas.openxmlformats.org/officeDocument/2006/customXml" ds:itemID="{E8C5977D-1E37-4F2B-B588-29BE81DC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DF57E6-E3BA-42F4-AD9B-CD9473C2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7336</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תזכיר חוק לתיקון פקודת מס הכנסה (תיקון מס____), התש''ז-2017.docx</vt:lpstr>
      <vt:lpstr>תזכיר קרנות הריט.docx</vt:lpstr>
    </vt:vector>
  </TitlesOfParts>
  <Company>HP</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לתיקון פקודת מס הכנסה (תיקון מס____), התש''ז-2017.docx</dc:title>
  <dc:creator>liat graber</dc:creator>
  <cp:lastModifiedBy>dalia</cp:lastModifiedBy>
  <cp:revision>2</cp:revision>
  <cp:lastPrinted>2017-08-06T09:08:00Z</cp:lastPrinted>
  <dcterms:created xsi:type="dcterms:W3CDTF">2017-08-09T15:44:00Z</dcterms:created>
  <dcterms:modified xsi:type="dcterms:W3CDTF">2017-08-09T15:44:00Z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