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0272" w14:textId="77777777" w:rsidR="004D34EA" w:rsidRDefault="004D34EA" w:rsidP="005F0271">
      <w:pPr>
        <w:jc w:val="center"/>
        <w:rPr>
          <w:b/>
          <w:bCs/>
          <w:sz w:val="26"/>
          <w:szCs w:val="26"/>
          <w:rtl/>
        </w:rPr>
      </w:pPr>
      <w:r>
        <w:rPr>
          <w:noProof/>
        </w:rPr>
        <w:drawing>
          <wp:inline distT="0" distB="0" distL="0" distR="0" wp14:anchorId="3A71391A" wp14:editId="24A87E2D">
            <wp:extent cx="509905" cy="624205"/>
            <wp:effectExtent l="0" t="0" r="4445" b="4445"/>
            <wp:docPr id="1" name="תמונה 1" descr="סמל המדינ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סמל המדינה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78F1A" w14:textId="77777777" w:rsidR="004D34EA" w:rsidRDefault="004D34EA" w:rsidP="005F0271">
      <w:pPr>
        <w:rPr>
          <w:b/>
          <w:bCs/>
          <w:sz w:val="26"/>
          <w:szCs w:val="26"/>
          <w:rtl/>
        </w:rPr>
      </w:pPr>
      <w:r w:rsidRPr="00CB5068">
        <w:rPr>
          <w:b/>
          <w:bCs/>
          <w:sz w:val="26"/>
          <w:szCs w:val="26"/>
          <w:rtl/>
        </w:rPr>
        <w:t>תוכן עניינים</w:t>
      </w:r>
    </w:p>
    <w:p w14:paraId="5EA9C16B" w14:textId="77777777" w:rsidR="00765B15" w:rsidRDefault="00765B15" w:rsidP="00765B15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"1-9" \h \z \t "Table SideHeading,3,Table Head,2,Head HatzaotHok,1,Head DivreiHesber,2,Head HatzaotHok4Futer,1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hyperlink w:anchor="_Toc63791444" w:history="1">
        <w:r w:rsidRPr="002C06A9">
          <w:rPr>
            <w:rStyle w:val="Hyperlink"/>
            <w:noProof/>
            <w:rtl/>
          </w:rPr>
          <w:t>טיוטת צו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Toc63791444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14:paraId="316E1212" w14:textId="77777777" w:rsidR="00765B15" w:rsidRDefault="00941D7D" w:rsidP="00765B15">
      <w:pPr>
        <w:pStyle w:val="TOC4"/>
        <w:rPr>
          <w:rFonts w:cstheme="minorBidi"/>
          <w:rtl/>
        </w:rPr>
      </w:pPr>
      <w:hyperlink w:anchor="_Toc63791445" w:history="1">
        <w:r w:rsidR="00765B15" w:rsidRPr="002C06A9">
          <w:rPr>
            <w:rStyle w:val="Hyperlink"/>
            <w:rtl/>
          </w:rPr>
          <w:t>א. שם הצו המוצע</w:t>
        </w:r>
        <w:r w:rsidR="00765B15">
          <w:rPr>
            <w:webHidden/>
            <w:rtl/>
          </w:rPr>
          <w:tab/>
        </w:r>
        <w:r w:rsidR="00765B15">
          <w:rPr>
            <w:webHidden/>
            <w:rtl/>
          </w:rPr>
          <w:fldChar w:fldCharType="begin"/>
        </w:r>
        <w:r w:rsidR="00765B15">
          <w:rPr>
            <w:webHidden/>
            <w:rtl/>
          </w:rPr>
          <w:instrText xml:space="preserve"> </w:instrText>
        </w:r>
        <w:r w:rsidR="00765B15">
          <w:rPr>
            <w:webHidden/>
          </w:rPr>
          <w:instrText>PAGEREF</w:instrText>
        </w:r>
        <w:r w:rsidR="00765B15">
          <w:rPr>
            <w:webHidden/>
            <w:rtl/>
          </w:rPr>
          <w:instrText xml:space="preserve"> _</w:instrText>
        </w:r>
        <w:r w:rsidR="00765B15">
          <w:rPr>
            <w:webHidden/>
          </w:rPr>
          <w:instrText>Toc63791445 \h</w:instrText>
        </w:r>
        <w:r w:rsidR="00765B15">
          <w:rPr>
            <w:webHidden/>
            <w:rtl/>
          </w:rPr>
          <w:instrText xml:space="preserve"> </w:instrText>
        </w:r>
        <w:r w:rsidR="00765B15">
          <w:rPr>
            <w:webHidden/>
            <w:rtl/>
          </w:rPr>
        </w:r>
        <w:r w:rsidR="00765B15">
          <w:rPr>
            <w:webHidden/>
            <w:rtl/>
          </w:rPr>
          <w:fldChar w:fldCharType="separate"/>
        </w:r>
        <w:r w:rsidR="00765B15">
          <w:rPr>
            <w:webHidden/>
            <w:rtl/>
          </w:rPr>
          <w:t>2</w:t>
        </w:r>
        <w:r w:rsidR="00765B15">
          <w:rPr>
            <w:webHidden/>
            <w:rtl/>
          </w:rPr>
          <w:fldChar w:fldCharType="end"/>
        </w:r>
      </w:hyperlink>
    </w:p>
    <w:p w14:paraId="66B7FB1A" w14:textId="77777777" w:rsidR="00765B15" w:rsidRDefault="00941D7D" w:rsidP="00765B15">
      <w:pPr>
        <w:pStyle w:val="TOC4"/>
        <w:rPr>
          <w:rFonts w:cstheme="minorBidi"/>
          <w:rtl/>
        </w:rPr>
      </w:pPr>
      <w:hyperlink w:anchor="_Toc63791446" w:history="1">
        <w:r w:rsidR="00765B15" w:rsidRPr="002C06A9">
          <w:rPr>
            <w:rStyle w:val="Hyperlink"/>
            <w:rtl/>
          </w:rPr>
          <w:t>ב. מטרת הצו המוצע והצורך בו</w:t>
        </w:r>
        <w:r w:rsidR="00765B15">
          <w:rPr>
            <w:webHidden/>
            <w:rtl/>
          </w:rPr>
          <w:tab/>
        </w:r>
        <w:r w:rsidR="00765B15">
          <w:rPr>
            <w:webHidden/>
            <w:rtl/>
          </w:rPr>
          <w:fldChar w:fldCharType="begin"/>
        </w:r>
        <w:r w:rsidR="00765B15">
          <w:rPr>
            <w:webHidden/>
            <w:rtl/>
          </w:rPr>
          <w:instrText xml:space="preserve"> </w:instrText>
        </w:r>
        <w:r w:rsidR="00765B15">
          <w:rPr>
            <w:webHidden/>
          </w:rPr>
          <w:instrText>PAGEREF</w:instrText>
        </w:r>
        <w:r w:rsidR="00765B15">
          <w:rPr>
            <w:webHidden/>
            <w:rtl/>
          </w:rPr>
          <w:instrText xml:space="preserve"> _</w:instrText>
        </w:r>
        <w:r w:rsidR="00765B15">
          <w:rPr>
            <w:webHidden/>
          </w:rPr>
          <w:instrText>Toc63791446 \h</w:instrText>
        </w:r>
        <w:r w:rsidR="00765B15">
          <w:rPr>
            <w:webHidden/>
            <w:rtl/>
          </w:rPr>
          <w:instrText xml:space="preserve"> </w:instrText>
        </w:r>
        <w:r w:rsidR="00765B15">
          <w:rPr>
            <w:webHidden/>
            <w:rtl/>
          </w:rPr>
        </w:r>
        <w:r w:rsidR="00765B15">
          <w:rPr>
            <w:webHidden/>
            <w:rtl/>
          </w:rPr>
          <w:fldChar w:fldCharType="separate"/>
        </w:r>
        <w:r w:rsidR="00765B15">
          <w:rPr>
            <w:webHidden/>
            <w:rtl/>
          </w:rPr>
          <w:t>2</w:t>
        </w:r>
        <w:r w:rsidR="00765B15">
          <w:rPr>
            <w:webHidden/>
            <w:rtl/>
          </w:rPr>
          <w:fldChar w:fldCharType="end"/>
        </w:r>
      </w:hyperlink>
    </w:p>
    <w:p w14:paraId="3B2907FC" w14:textId="77777777" w:rsidR="00765B15" w:rsidRDefault="00941D7D" w:rsidP="00765B15">
      <w:pPr>
        <w:pStyle w:val="TOC4"/>
        <w:rPr>
          <w:rFonts w:cstheme="minorBidi"/>
          <w:rtl/>
        </w:rPr>
      </w:pPr>
      <w:hyperlink w:anchor="_Toc63791447" w:history="1">
        <w:r w:rsidR="00765B15" w:rsidRPr="002C06A9">
          <w:rPr>
            <w:rStyle w:val="Hyperlink"/>
            <w:rtl/>
          </w:rPr>
          <w:t>ג. להלן נוסח טיוטת הצו המוצע:</w:t>
        </w:r>
        <w:r w:rsidR="00765B15">
          <w:rPr>
            <w:webHidden/>
            <w:rtl/>
          </w:rPr>
          <w:tab/>
        </w:r>
        <w:r w:rsidR="00765B15">
          <w:rPr>
            <w:webHidden/>
            <w:rtl/>
          </w:rPr>
          <w:fldChar w:fldCharType="begin"/>
        </w:r>
        <w:r w:rsidR="00765B15">
          <w:rPr>
            <w:webHidden/>
            <w:rtl/>
          </w:rPr>
          <w:instrText xml:space="preserve"> </w:instrText>
        </w:r>
        <w:r w:rsidR="00765B15">
          <w:rPr>
            <w:webHidden/>
          </w:rPr>
          <w:instrText>PAGEREF</w:instrText>
        </w:r>
        <w:r w:rsidR="00765B15">
          <w:rPr>
            <w:webHidden/>
            <w:rtl/>
          </w:rPr>
          <w:instrText xml:space="preserve"> _</w:instrText>
        </w:r>
        <w:r w:rsidR="00765B15">
          <w:rPr>
            <w:webHidden/>
          </w:rPr>
          <w:instrText>Toc63791447 \h</w:instrText>
        </w:r>
        <w:r w:rsidR="00765B15">
          <w:rPr>
            <w:webHidden/>
            <w:rtl/>
          </w:rPr>
          <w:instrText xml:space="preserve"> </w:instrText>
        </w:r>
        <w:r w:rsidR="00765B15">
          <w:rPr>
            <w:webHidden/>
            <w:rtl/>
          </w:rPr>
        </w:r>
        <w:r w:rsidR="00765B15">
          <w:rPr>
            <w:webHidden/>
            <w:rtl/>
          </w:rPr>
          <w:fldChar w:fldCharType="separate"/>
        </w:r>
        <w:r w:rsidR="00765B15">
          <w:rPr>
            <w:webHidden/>
            <w:rtl/>
          </w:rPr>
          <w:t>2</w:t>
        </w:r>
        <w:r w:rsidR="00765B15">
          <w:rPr>
            <w:webHidden/>
            <w:rtl/>
          </w:rPr>
          <w:fldChar w:fldCharType="end"/>
        </w:r>
      </w:hyperlink>
    </w:p>
    <w:p w14:paraId="30242BD5" w14:textId="77777777" w:rsidR="00765B15" w:rsidRDefault="00941D7D" w:rsidP="00765B15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hyperlink w:anchor="_Toc63791448" w:history="1">
        <w:r w:rsidR="00765B15" w:rsidRPr="002C06A9">
          <w:rPr>
            <w:rStyle w:val="Hyperlink"/>
            <w:noProof/>
            <w:rtl/>
          </w:rPr>
          <w:t>טיוטת צו מס הכנסה (קביעת סכומים ששולמו מקופת גמל לקצבה לעמית עצמאי במצב אבטלה כהכנסה לעניין ניכוי במקור), התשפ"א-2021</w:t>
        </w:r>
        <w:r w:rsidR="00765B15">
          <w:rPr>
            <w:noProof/>
            <w:webHidden/>
            <w:rtl/>
          </w:rPr>
          <w:tab/>
        </w:r>
        <w:r w:rsidR="00765B15">
          <w:rPr>
            <w:noProof/>
            <w:webHidden/>
            <w:rtl/>
          </w:rPr>
          <w:fldChar w:fldCharType="begin"/>
        </w:r>
        <w:r w:rsidR="00765B15">
          <w:rPr>
            <w:noProof/>
            <w:webHidden/>
            <w:rtl/>
          </w:rPr>
          <w:instrText xml:space="preserve"> </w:instrText>
        </w:r>
        <w:r w:rsidR="00765B15">
          <w:rPr>
            <w:noProof/>
            <w:webHidden/>
          </w:rPr>
          <w:instrText>PAGEREF</w:instrText>
        </w:r>
        <w:r w:rsidR="00765B15">
          <w:rPr>
            <w:noProof/>
            <w:webHidden/>
            <w:rtl/>
          </w:rPr>
          <w:instrText xml:space="preserve"> _</w:instrText>
        </w:r>
        <w:r w:rsidR="00765B15">
          <w:rPr>
            <w:noProof/>
            <w:webHidden/>
          </w:rPr>
          <w:instrText>Toc63791448 \h</w:instrText>
        </w:r>
        <w:r w:rsidR="00765B15">
          <w:rPr>
            <w:noProof/>
            <w:webHidden/>
            <w:rtl/>
          </w:rPr>
          <w:instrText xml:space="preserve"> </w:instrText>
        </w:r>
        <w:r w:rsidR="00765B15">
          <w:rPr>
            <w:noProof/>
            <w:webHidden/>
            <w:rtl/>
          </w:rPr>
        </w:r>
        <w:r w:rsidR="00765B15">
          <w:rPr>
            <w:noProof/>
            <w:webHidden/>
            <w:rtl/>
          </w:rPr>
          <w:fldChar w:fldCharType="separate"/>
        </w:r>
        <w:r w:rsidR="00765B15">
          <w:rPr>
            <w:noProof/>
            <w:webHidden/>
            <w:rtl/>
          </w:rPr>
          <w:t>3</w:t>
        </w:r>
        <w:r w:rsidR="00765B15">
          <w:rPr>
            <w:noProof/>
            <w:webHidden/>
            <w:rtl/>
          </w:rPr>
          <w:fldChar w:fldCharType="end"/>
        </w:r>
      </w:hyperlink>
    </w:p>
    <w:p w14:paraId="76B269AF" w14:textId="77777777" w:rsidR="00765B15" w:rsidRDefault="00941D7D" w:rsidP="00765B15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63791449" w:history="1">
        <w:r w:rsidR="00765B15" w:rsidRPr="002C06A9">
          <w:rPr>
            <w:rStyle w:val="Hyperlink"/>
            <w:noProof/>
            <w:rtl/>
          </w:rPr>
          <w:t>הגדרות</w:t>
        </w:r>
        <w:r w:rsidR="00765B15">
          <w:rPr>
            <w:noProof/>
            <w:webHidden/>
            <w:rtl/>
          </w:rPr>
          <w:tab/>
        </w:r>
        <w:r w:rsidR="00765B15">
          <w:rPr>
            <w:noProof/>
            <w:webHidden/>
            <w:rtl/>
          </w:rPr>
          <w:fldChar w:fldCharType="begin"/>
        </w:r>
        <w:r w:rsidR="00765B15">
          <w:rPr>
            <w:noProof/>
            <w:webHidden/>
            <w:rtl/>
          </w:rPr>
          <w:instrText xml:space="preserve"> </w:instrText>
        </w:r>
        <w:r w:rsidR="00765B15">
          <w:rPr>
            <w:noProof/>
            <w:webHidden/>
          </w:rPr>
          <w:instrText>PAGEREF</w:instrText>
        </w:r>
        <w:r w:rsidR="00765B15">
          <w:rPr>
            <w:noProof/>
            <w:webHidden/>
            <w:rtl/>
          </w:rPr>
          <w:instrText xml:space="preserve"> _</w:instrText>
        </w:r>
        <w:r w:rsidR="00765B15">
          <w:rPr>
            <w:noProof/>
            <w:webHidden/>
          </w:rPr>
          <w:instrText>Toc63791449 \h</w:instrText>
        </w:r>
        <w:r w:rsidR="00765B15">
          <w:rPr>
            <w:noProof/>
            <w:webHidden/>
            <w:rtl/>
          </w:rPr>
          <w:instrText xml:space="preserve"> </w:instrText>
        </w:r>
        <w:r w:rsidR="00765B15">
          <w:rPr>
            <w:noProof/>
            <w:webHidden/>
            <w:rtl/>
          </w:rPr>
        </w:r>
        <w:r w:rsidR="00765B15">
          <w:rPr>
            <w:noProof/>
            <w:webHidden/>
            <w:rtl/>
          </w:rPr>
          <w:fldChar w:fldCharType="separate"/>
        </w:r>
        <w:r w:rsidR="00765B15">
          <w:rPr>
            <w:noProof/>
            <w:webHidden/>
            <w:rtl/>
          </w:rPr>
          <w:t>3</w:t>
        </w:r>
        <w:r w:rsidR="00765B15">
          <w:rPr>
            <w:noProof/>
            <w:webHidden/>
            <w:rtl/>
          </w:rPr>
          <w:fldChar w:fldCharType="end"/>
        </w:r>
      </w:hyperlink>
    </w:p>
    <w:p w14:paraId="358D6093" w14:textId="77777777" w:rsidR="00765B15" w:rsidRDefault="00941D7D" w:rsidP="00765B15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63791450" w:history="1">
        <w:r w:rsidR="00765B15" w:rsidRPr="002C06A9">
          <w:rPr>
            <w:rStyle w:val="Hyperlink"/>
            <w:noProof/>
            <w:rtl/>
          </w:rPr>
          <w:t>קביעת סכומים ששולמו מקופת גמל לקצבה לעמית עצמאי במצב אבטלה כהכנסה</w:t>
        </w:r>
        <w:r w:rsidR="00765B15">
          <w:rPr>
            <w:noProof/>
            <w:webHidden/>
            <w:rtl/>
          </w:rPr>
          <w:tab/>
        </w:r>
        <w:r w:rsidR="00765B15">
          <w:rPr>
            <w:noProof/>
            <w:webHidden/>
            <w:rtl/>
          </w:rPr>
          <w:fldChar w:fldCharType="begin"/>
        </w:r>
        <w:r w:rsidR="00765B15">
          <w:rPr>
            <w:noProof/>
            <w:webHidden/>
            <w:rtl/>
          </w:rPr>
          <w:instrText xml:space="preserve"> </w:instrText>
        </w:r>
        <w:r w:rsidR="00765B15">
          <w:rPr>
            <w:noProof/>
            <w:webHidden/>
          </w:rPr>
          <w:instrText>PAGEREF</w:instrText>
        </w:r>
        <w:r w:rsidR="00765B15">
          <w:rPr>
            <w:noProof/>
            <w:webHidden/>
            <w:rtl/>
          </w:rPr>
          <w:instrText xml:space="preserve"> _</w:instrText>
        </w:r>
        <w:r w:rsidR="00765B15">
          <w:rPr>
            <w:noProof/>
            <w:webHidden/>
          </w:rPr>
          <w:instrText>Toc63791450 \h</w:instrText>
        </w:r>
        <w:r w:rsidR="00765B15">
          <w:rPr>
            <w:noProof/>
            <w:webHidden/>
            <w:rtl/>
          </w:rPr>
          <w:instrText xml:space="preserve"> </w:instrText>
        </w:r>
        <w:r w:rsidR="00765B15">
          <w:rPr>
            <w:noProof/>
            <w:webHidden/>
            <w:rtl/>
          </w:rPr>
        </w:r>
        <w:r w:rsidR="00765B15">
          <w:rPr>
            <w:noProof/>
            <w:webHidden/>
            <w:rtl/>
          </w:rPr>
          <w:fldChar w:fldCharType="separate"/>
        </w:r>
        <w:r w:rsidR="00765B15">
          <w:rPr>
            <w:noProof/>
            <w:webHidden/>
            <w:rtl/>
          </w:rPr>
          <w:t>3</w:t>
        </w:r>
        <w:r w:rsidR="00765B15">
          <w:rPr>
            <w:noProof/>
            <w:webHidden/>
            <w:rtl/>
          </w:rPr>
          <w:fldChar w:fldCharType="end"/>
        </w:r>
      </w:hyperlink>
    </w:p>
    <w:p w14:paraId="0BBEC6F0" w14:textId="77777777" w:rsidR="00765B15" w:rsidRDefault="00941D7D" w:rsidP="00765B15">
      <w:pPr>
        <w:pStyle w:val="TOC2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63791451" w:history="1">
        <w:r w:rsidR="00765B15" w:rsidRPr="002C06A9">
          <w:rPr>
            <w:rStyle w:val="Hyperlink"/>
            <w:noProof/>
            <w:rtl/>
          </w:rPr>
          <w:t>דברי הסבר</w:t>
        </w:r>
        <w:r w:rsidR="00765B15">
          <w:rPr>
            <w:noProof/>
            <w:webHidden/>
            <w:rtl/>
          </w:rPr>
          <w:tab/>
        </w:r>
        <w:r w:rsidR="00765B15">
          <w:rPr>
            <w:noProof/>
            <w:webHidden/>
            <w:rtl/>
          </w:rPr>
          <w:fldChar w:fldCharType="begin"/>
        </w:r>
        <w:r w:rsidR="00765B15">
          <w:rPr>
            <w:noProof/>
            <w:webHidden/>
            <w:rtl/>
          </w:rPr>
          <w:instrText xml:space="preserve"> </w:instrText>
        </w:r>
        <w:r w:rsidR="00765B15">
          <w:rPr>
            <w:noProof/>
            <w:webHidden/>
          </w:rPr>
          <w:instrText>PAGEREF</w:instrText>
        </w:r>
        <w:r w:rsidR="00765B15">
          <w:rPr>
            <w:noProof/>
            <w:webHidden/>
            <w:rtl/>
          </w:rPr>
          <w:instrText xml:space="preserve"> _</w:instrText>
        </w:r>
        <w:r w:rsidR="00765B15">
          <w:rPr>
            <w:noProof/>
            <w:webHidden/>
          </w:rPr>
          <w:instrText>Toc63791451 \h</w:instrText>
        </w:r>
        <w:r w:rsidR="00765B15">
          <w:rPr>
            <w:noProof/>
            <w:webHidden/>
            <w:rtl/>
          </w:rPr>
          <w:instrText xml:space="preserve"> </w:instrText>
        </w:r>
        <w:r w:rsidR="00765B15">
          <w:rPr>
            <w:noProof/>
            <w:webHidden/>
            <w:rtl/>
          </w:rPr>
        </w:r>
        <w:r w:rsidR="00765B15">
          <w:rPr>
            <w:noProof/>
            <w:webHidden/>
            <w:rtl/>
          </w:rPr>
          <w:fldChar w:fldCharType="separate"/>
        </w:r>
        <w:r w:rsidR="00765B15">
          <w:rPr>
            <w:noProof/>
            <w:webHidden/>
            <w:rtl/>
          </w:rPr>
          <w:t>3</w:t>
        </w:r>
        <w:r w:rsidR="00765B15">
          <w:rPr>
            <w:noProof/>
            <w:webHidden/>
            <w:rtl/>
          </w:rPr>
          <w:fldChar w:fldCharType="end"/>
        </w:r>
      </w:hyperlink>
    </w:p>
    <w:p w14:paraId="30E2AF5E" w14:textId="77777777" w:rsidR="004D34EA" w:rsidRDefault="00765B15" w:rsidP="00765B15">
      <w:pPr>
        <w:rPr>
          <w:snapToGrid w:val="0"/>
          <w:rtl/>
        </w:rPr>
      </w:pPr>
      <w:r>
        <w:rPr>
          <w:rtl/>
        </w:rPr>
        <w:fldChar w:fldCharType="end"/>
      </w:r>
      <w:r w:rsidR="004D34EA">
        <w:rPr>
          <w:rtl/>
        </w:rPr>
        <w:br w:type="page"/>
      </w:r>
    </w:p>
    <w:p w14:paraId="036E7C3F" w14:textId="77777777" w:rsidR="00B409C0" w:rsidRDefault="00B409C0" w:rsidP="00307E94">
      <w:pPr>
        <w:pStyle w:val="1"/>
        <w:keepNext w:val="0"/>
        <w:keepLines w:val="0"/>
      </w:pPr>
      <w:bookmarkStart w:id="0" w:name="_Toc63791249"/>
      <w:bookmarkStart w:id="1" w:name="_Toc63791262"/>
      <w:bookmarkStart w:id="2" w:name="_Toc63791444"/>
      <w:r>
        <w:rPr>
          <w:rtl/>
        </w:rPr>
        <w:lastRenderedPageBreak/>
        <w:t>טיוטת צו</w:t>
      </w:r>
      <w:bookmarkEnd w:id="0"/>
      <w:bookmarkEnd w:id="1"/>
      <w:bookmarkEnd w:id="2"/>
    </w:p>
    <w:p w14:paraId="40A14139" w14:textId="77777777" w:rsidR="00B409C0" w:rsidRDefault="00B409C0" w:rsidP="00307E94">
      <w:pPr>
        <w:rPr>
          <w:rtl/>
        </w:rPr>
      </w:pPr>
    </w:p>
    <w:p w14:paraId="054FF45D" w14:textId="77777777" w:rsidR="00B409C0" w:rsidRDefault="00B409C0" w:rsidP="00F24A78">
      <w:pPr>
        <w:pStyle w:val="4"/>
        <w:rPr>
          <w:rtl/>
        </w:rPr>
      </w:pPr>
      <w:bookmarkStart w:id="3" w:name="_Toc63791263"/>
      <w:bookmarkStart w:id="4" w:name="_Toc63791445"/>
      <w:r>
        <w:rPr>
          <w:rFonts w:hint="cs"/>
          <w:rtl/>
        </w:rPr>
        <w:t>שם הצו המוצע</w:t>
      </w:r>
      <w:bookmarkEnd w:id="3"/>
      <w:bookmarkEnd w:id="4"/>
    </w:p>
    <w:p w14:paraId="675E404A" w14:textId="77777777" w:rsidR="00B409C0" w:rsidRDefault="00B409C0" w:rsidP="00B22FD1">
      <w:r>
        <w:rPr>
          <w:rFonts w:hint="cs"/>
          <w:rtl/>
        </w:rPr>
        <w:t>צו מס הכנסה (קביעת סכומים ששולמו מקופת גמל לקצבה לעמית עצמאי במצב אבטלה כהכנסה</w:t>
      </w:r>
      <w:r w:rsidR="00765B15">
        <w:rPr>
          <w:rFonts w:hint="cs"/>
          <w:rtl/>
        </w:rPr>
        <w:t xml:space="preserve"> לעניין ניכוי במקור</w:t>
      </w:r>
      <w:r>
        <w:rPr>
          <w:rFonts w:hint="cs"/>
          <w:rtl/>
        </w:rPr>
        <w:t>), התשפ"א-2021</w:t>
      </w:r>
    </w:p>
    <w:p w14:paraId="25D5530A" w14:textId="77777777" w:rsidR="00B409C0" w:rsidRDefault="00B409C0" w:rsidP="00307E94">
      <w:pPr>
        <w:rPr>
          <w:rtl/>
        </w:rPr>
      </w:pPr>
    </w:p>
    <w:p w14:paraId="03DF7FA7" w14:textId="77777777" w:rsidR="00B409C0" w:rsidRDefault="00B409C0" w:rsidP="00307E94">
      <w:pPr>
        <w:rPr>
          <w:rtl/>
        </w:rPr>
      </w:pPr>
    </w:p>
    <w:p w14:paraId="3030D50E" w14:textId="77777777" w:rsidR="00B409C0" w:rsidRPr="00B15C2E" w:rsidRDefault="00B409C0" w:rsidP="00F24A78">
      <w:pPr>
        <w:pStyle w:val="4"/>
        <w:rPr>
          <w:rtl/>
        </w:rPr>
      </w:pPr>
      <w:bookmarkStart w:id="5" w:name="_Toc63791264"/>
      <w:bookmarkStart w:id="6" w:name="_Toc63791446"/>
      <w:r w:rsidRPr="00B15C2E">
        <w:rPr>
          <w:rFonts w:hint="cs"/>
          <w:rtl/>
        </w:rPr>
        <w:t>מטרת הצו המוצע והצורך בו</w:t>
      </w:r>
      <w:bookmarkEnd w:id="5"/>
      <w:bookmarkEnd w:id="6"/>
      <w:r w:rsidRPr="00B15C2E">
        <w:rPr>
          <w:rFonts w:hint="cs"/>
          <w:rtl/>
        </w:rPr>
        <w:t xml:space="preserve"> </w:t>
      </w:r>
    </w:p>
    <w:p w14:paraId="5C6A3414" w14:textId="77777777" w:rsidR="00B409C0" w:rsidRDefault="00B409C0" w:rsidP="00685FAA">
      <w:pPr>
        <w:rPr>
          <w:rtl/>
        </w:rPr>
      </w:pPr>
      <w:r>
        <w:rPr>
          <w:rFonts w:hint="cs"/>
          <w:rtl/>
        </w:rPr>
        <w:t>קביעת הוראת ניכוי</w:t>
      </w:r>
      <w:r w:rsidR="00777CBC">
        <w:rPr>
          <w:rFonts w:hint="cs"/>
          <w:rtl/>
        </w:rPr>
        <w:t xml:space="preserve"> מס</w:t>
      </w:r>
      <w:r>
        <w:rPr>
          <w:rFonts w:hint="cs"/>
          <w:rtl/>
        </w:rPr>
        <w:t xml:space="preserve"> במקור לסכומים ששולמו מקופת גמל לעמית עצמאי במצב אבטלה, במשיכה ללא פטור  או בסכום שמעבר ל</w:t>
      </w:r>
      <w:r w:rsidR="00685FAA">
        <w:rPr>
          <w:rFonts w:hint="cs"/>
          <w:rtl/>
        </w:rPr>
        <w:t>תקרת</w:t>
      </w:r>
      <w:r>
        <w:rPr>
          <w:rFonts w:hint="cs"/>
          <w:rtl/>
        </w:rPr>
        <w:t xml:space="preserve"> הפטור</w:t>
      </w:r>
      <w:r w:rsidR="00765B15">
        <w:rPr>
          <w:rFonts w:hint="cs"/>
          <w:rtl/>
        </w:rPr>
        <w:t>.</w:t>
      </w:r>
    </w:p>
    <w:p w14:paraId="715CD3BB" w14:textId="77777777" w:rsidR="00B409C0" w:rsidRDefault="00B409C0" w:rsidP="00307E94">
      <w:pPr>
        <w:rPr>
          <w:rtl/>
        </w:rPr>
      </w:pPr>
    </w:p>
    <w:p w14:paraId="11339F6D" w14:textId="77777777" w:rsidR="00B409C0" w:rsidRDefault="00B409C0" w:rsidP="00307E94">
      <w:pPr>
        <w:rPr>
          <w:rtl/>
        </w:rPr>
      </w:pPr>
    </w:p>
    <w:p w14:paraId="0477E10F" w14:textId="77777777" w:rsidR="00B409C0" w:rsidRDefault="00B409C0" w:rsidP="00F24A78">
      <w:pPr>
        <w:pStyle w:val="4"/>
        <w:rPr>
          <w:rtl/>
        </w:rPr>
      </w:pPr>
      <w:bookmarkStart w:id="7" w:name="_Toc63791265"/>
      <w:bookmarkStart w:id="8" w:name="_Toc63791447"/>
      <w:r>
        <w:rPr>
          <w:rFonts w:hint="cs"/>
          <w:rtl/>
        </w:rPr>
        <w:t>להלן נוסח טיוטת הצו המוצע:</w:t>
      </w:r>
      <w:bookmarkEnd w:id="7"/>
      <w:bookmarkEnd w:id="8"/>
      <w:r>
        <w:rPr>
          <w:rFonts w:hint="cs"/>
          <w:rtl/>
        </w:rPr>
        <w:t xml:space="preserve"> </w:t>
      </w:r>
    </w:p>
    <w:p w14:paraId="0601A25E" w14:textId="77777777" w:rsidR="00B409C0" w:rsidRPr="00777CBC" w:rsidRDefault="00B409C0" w:rsidP="00307E94">
      <w:pPr>
        <w:bidi w:val="0"/>
        <w:rPr>
          <w:rFonts w:asciiTheme="minorHAnsi" w:hAnsiTheme="minorHAnsi"/>
        </w:rPr>
      </w:pPr>
      <w:r>
        <w:rPr>
          <w:rtl/>
        </w:rPr>
        <w:br w:type="page"/>
      </w:r>
    </w:p>
    <w:p w14:paraId="07BEA02E" w14:textId="77777777" w:rsidR="00B409C0" w:rsidRDefault="00B409C0" w:rsidP="00723806">
      <w:pPr>
        <w:pStyle w:val="HeadMitparsemetBaze"/>
        <w:keepNext w:val="0"/>
        <w:keepLines w:val="0"/>
        <w:pageBreakBefore w:val="0"/>
        <w:rPr>
          <w:rtl/>
        </w:rPr>
      </w:pPr>
      <w:r>
        <w:rPr>
          <w:rtl/>
        </w:rPr>
        <w:lastRenderedPageBreak/>
        <w:t>טיוטת צו מטעם משרד</w:t>
      </w:r>
      <w:r w:rsidR="00CE7716">
        <w:rPr>
          <w:rFonts w:hint="cs"/>
          <w:rtl/>
        </w:rPr>
        <w:t xml:space="preserve"> </w:t>
      </w:r>
      <w:r w:rsidR="00723806">
        <w:rPr>
          <w:rFonts w:hint="cs"/>
          <w:rtl/>
        </w:rPr>
        <w:t>האוצר</w:t>
      </w:r>
      <w:r>
        <w:rPr>
          <w:rtl/>
        </w:rPr>
        <w:t xml:space="preserve">: </w:t>
      </w:r>
    </w:p>
    <w:p w14:paraId="3713C8BF" w14:textId="77777777" w:rsidR="00B409C0" w:rsidRDefault="00B409C0" w:rsidP="00B22FD1">
      <w:pPr>
        <w:pStyle w:val="HeadHatzaotHok"/>
        <w:keepNext w:val="0"/>
        <w:keepLines w:val="0"/>
        <w:rPr>
          <w:rtl/>
        </w:rPr>
      </w:pPr>
      <w:bookmarkStart w:id="9" w:name="_Toc63791250"/>
      <w:bookmarkStart w:id="10" w:name="_Toc63791266"/>
      <w:bookmarkStart w:id="11" w:name="_Toc63791448"/>
      <w:r>
        <w:rPr>
          <w:rtl/>
        </w:rPr>
        <w:t>טיוטת צו</w:t>
      </w:r>
      <w:r w:rsidR="001F7BBB">
        <w:rPr>
          <w:rFonts w:hint="cs"/>
          <w:rtl/>
        </w:rPr>
        <w:t xml:space="preserve"> מס הכנסה (קביעת סכומים ששולמו מקופת גמל לקצבה לעמית עצמאי במצב אבטלה כהכנסה</w:t>
      </w:r>
      <w:r w:rsidR="00765B15">
        <w:rPr>
          <w:rFonts w:hint="cs"/>
          <w:rtl/>
        </w:rPr>
        <w:t xml:space="preserve"> לעניין ניכוי במקור</w:t>
      </w:r>
      <w:r w:rsidR="001F7BBB">
        <w:rPr>
          <w:rFonts w:hint="cs"/>
          <w:rtl/>
        </w:rPr>
        <w:t>), התשפ"א-2021</w:t>
      </w:r>
      <w:bookmarkEnd w:id="9"/>
      <w:bookmarkEnd w:id="10"/>
      <w:bookmarkEnd w:id="11"/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B409C0" w14:paraId="5D62EA6F" w14:textId="77777777" w:rsidTr="001F7BBB">
        <w:trPr>
          <w:cantSplit/>
          <w:trHeight w:val="60"/>
        </w:trPr>
        <w:tc>
          <w:tcPr>
            <w:tcW w:w="1871" w:type="dxa"/>
          </w:tcPr>
          <w:p w14:paraId="0D091E88" w14:textId="77777777" w:rsidR="00B409C0" w:rsidRDefault="00B409C0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31E50466" w14:textId="77777777" w:rsidR="00B409C0" w:rsidRDefault="00B409C0">
            <w:pPr>
              <w:pStyle w:val="TableText"/>
            </w:pPr>
          </w:p>
        </w:tc>
        <w:tc>
          <w:tcPr>
            <w:tcW w:w="7146" w:type="dxa"/>
            <w:hideMark/>
          </w:tcPr>
          <w:p w14:paraId="39E6915A" w14:textId="77777777" w:rsidR="00B409C0" w:rsidRDefault="00B409C0" w:rsidP="00B409C0">
            <w:pPr>
              <w:pStyle w:val="TableBlock"/>
            </w:pPr>
            <w:r>
              <w:rPr>
                <w:rtl/>
              </w:rPr>
              <w:t>בתוקף סמכותי לפי סעיף</w:t>
            </w:r>
            <w:r>
              <w:rPr>
                <w:rFonts w:hint="cs"/>
                <w:rtl/>
              </w:rPr>
              <w:t xml:space="preserve"> 164 לפקודת מס הכנסה</w:t>
            </w:r>
            <w:r>
              <w:rPr>
                <w:rStyle w:val="a7"/>
                <w:rtl/>
              </w:rPr>
              <w:footnoteReference w:id="1"/>
            </w:r>
            <w:r>
              <w:rPr>
                <w:rFonts w:hint="cs"/>
                <w:rtl/>
              </w:rPr>
              <w:t>, ובאישור ועדת הכספים של הכנסת,</w:t>
            </w:r>
            <w:r>
              <w:rPr>
                <w:rtl/>
              </w:rPr>
              <w:t xml:space="preserve"> אני מצווה לאמור:</w:t>
            </w:r>
          </w:p>
        </w:tc>
      </w:tr>
      <w:tr w:rsidR="00B409C0" w14:paraId="15BC7BEF" w14:textId="77777777" w:rsidTr="001F7BBB">
        <w:trPr>
          <w:cantSplit/>
          <w:trHeight w:val="60"/>
        </w:trPr>
        <w:tc>
          <w:tcPr>
            <w:tcW w:w="1871" w:type="dxa"/>
          </w:tcPr>
          <w:p w14:paraId="36C87BC4" w14:textId="77777777" w:rsidR="00B409C0" w:rsidRDefault="00B409C0">
            <w:pPr>
              <w:pStyle w:val="TableSideHeading"/>
            </w:pPr>
          </w:p>
        </w:tc>
        <w:tc>
          <w:tcPr>
            <w:tcW w:w="624" w:type="dxa"/>
          </w:tcPr>
          <w:p w14:paraId="4440E711" w14:textId="77777777" w:rsidR="00B409C0" w:rsidRDefault="00B409C0">
            <w:pPr>
              <w:pStyle w:val="TableText"/>
            </w:pPr>
          </w:p>
        </w:tc>
        <w:tc>
          <w:tcPr>
            <w:tcW w:w="7146" w:type="dxa"/>
          </w:tcPr>
          <w:p w14:paraId="08ED615A" w14:textId="77777777" w:rsidR="00B409C0" w:rsidRDefault="00B409C0">
            <w:pPr>
              <w:pStyle w:val="TableHead"/>
            </w:pPr>
          </w:p>
        </w:tc>
      </w:tr>
      <w:tr w:rsidR="00B409C0" w14:paraId="501FA717" w14:textId="77777777" w:rsidTr="001F7BBB">
        <w:trPr>
          <w:cantSplit/>
          <w:trHeight w:val="60"/>
        </w:trPr>
        <w:tc>
          <w:tcPr>
            <w:tcW w:w="1871" w:type="dxa"/>
          </w:tcPr>
          <w:p w14:paraId="7AEB492D" w14:textId="77777777" w:rsidR="00B409C0" w:rsidRDefault="007F577D">
            <w:pPr>
              <w:pStyle w:val="TableSideHeading"/>
            </w:pPr>
            <w:bookmarkStart w:id="12" w:name="_Toc63791251"/>
            <w:bookmarkStart w:id="13" w:name="_Toc63791267"/>
            <w:bookmarkStart w:id="14" w:name="_Toc63791449"/>
            <w:r>
              <w:rPr>
                <w:rFonts w:hint="cs"/>
                <w:rtl/>
              </w:rPr>
              <w:t>הגדרות</w:t>
            </w:r>
            <w:bookmarkEnd w:id="12"/>
            <w:bookmarkEnd w:id="13"/>
            <w:bookmarkEnd w:id="14"/>
          </w:p>
        </w:tc>
        <w:tc>
          <w:tcPr>
            <w:tcW w:w="624" w:type="dxa"/>
          </w:tcPr>
          <w:p w14:paraId="2F633CE2" w14:textId="77777777" w:rsidR="00B409C0" w:rsidRDefault="00B409C0" w:rsidP="00B409C0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7146" w:type="dxa"/>
          </w:tcPr>
          <w:p w14:paraId="0D23758F" w14:textId="77777777" w:rsidR="007F577D" w:rsidRDefault="00B409C0" w:rsidP="00F21E90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בצו זה- </w:t>
            </w:r>
          </w:p>
          <w:p w14:paraId="24619F0E" w14:textId="77777777" w:rsidR="00B409C0" w:rsidRDefault="00BA2557" w:rsidP="00DE01E9">
            <w:pPr>
              <w:pStyle w:val="TableBlock"/>
            </w:pPr>
            <w:r>
              <w:rPr>
                <w:rFonts w:hint="cs"/>
                <w:rtl/>
              </w:rPr>
              <w:t xml:space="preserve"> "סכומים ששולמו מקופת גמל לקצבה לעמית עצמאי ב</w:t>
            </w:r>
            <w:r w:rsidR="001F7BBB">
              <w:rPr>
                <w:rFonts w:hint="cs"/>
                <w:rtl/>
              </w:rPr>
              <w:t>מצב אבטלה"- סכומים ששולמו ליחיד בהתאם לסעיף 23(ב3) לחוק הפיקוח</w:t>
            </w:r>
            <w:r w:rsidR="00F21E90">
              <w:rPr>
                <w:rFonts w:hint="cs"/>
                <w:rtl/>
              </w:rPr>
              <w:t xml:space="preserve"> על שירותים פיננסיים</w:t>
            </w:r>
            <w:r w:rsidR="00DE01E9">
              <w:rPr>
                <w:rFonts w:hint="cs"/>
                <w:rtl/>
              </w:rPr>
              <w:t xml:space="preserve"> (קופות גמל), התשס"ה-2005</w:t>
            </w:r>
            <w:r w:rsidR="00DE01E9">
              <w:rPr>
                <w:rStyle w:val="a7"/>
                <w:rtl/>
              </w:rPr>
              <w:footnoteReference w:id="2"/>
            </w:r>
            <w:r w:rsidR="001F7BBB">
              <w:rPr>
                <w:rFonts w:hint="cs"/>
                <w:rtl/>
              </w:rPr>
              <w:t xml:space="preserve"> ובהתאם לתקנות הפיקוח על שירותים פיננסיים (קופות גמל) (משיכת כספים של עמית</w:t>
            </w:r>
            <w:r w:rsidR="00F21E90">
              <w:rPr>
                <w:rFonts w:hint="cs"/>
                <w:rtl/>
              </w:rPr>
              <w:t>-</w:t>
            </w:r>
            <w:r w:rsidR="001F7BBB">
              <w:rPr>
                <w:rFonts w:hint="cs"/>
                <w:rtl/>
              </w:rPr>
              <w:t>עצמאי במצב אבטלה) (הוראת שעה), התשפ"א-2021</w:t>
            </w:r>
            <w:r w:rsidR="008E7AFB">
              <w:rPr>
                <w:rStyle w:val="a7"/>
                <w:rtl/>
              </w:rPr>
              <w:footnoteReference w:id="3"/>
            </w:r>
            <w:r w:rsidR="001F7BBB">
              <w:rPr>
                <w:rFonts w:hint="cs"/>
                <w:rtl/>
              </w:rPr>
              <w:t>.</w:t>
            </w:r>
          </w:p>
        </w:tc>
      </w:tr>
      <w:tr w:rsidR="001F7BBB" w14:paraId="18239D21" w14:textId="77777777" w:rsidTr="001F7BBB">
        <w:trPr>
          <w:cantSplit/>
          <w:trHeight w:val="60"/>
        </w:trPr>
        <w:tc>
          <w:tcPr>
            <w:tcW w:w="1871" w:type="dxa"/>
          </w:tcPr>
          <w:p w14:paraId="6959F060" w14:textId="77777777" w:rsidR="001F7BBB" w:rsidRDefault="00723806" w:rsidP="00B22FD1">
            <w:pPr>
              <w:pStyle w:val="TableSideHeading"/>
            </w:pPr>
            <w:bookmarkStart w:id="15" w:name="_Toc63791252"/>
            <w:bookmarkStart w:id="16" w:name="_Toc63791268"/>
            <w:bookmarkStart w:id="17" w:name="_Toc63791450"/>
            <w:r>
              <w:rPr>
                <w:rFonts w:hint="cs"/>
                <w:rtl/>
              </w:rPr>
              <w:t>קביעת סכומים ששולמו מקופת גמל לקצבה לעמית עצמאי במצב אבטלה כהכנסה</w:t>
            </w:r>
            <w:bookmarkEnd w:id="15"/>
            <w:bookmarkEnd w:id="16"/>
            <w:bookmarkEnd w:id="17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24" w:type="dxa"/>
          </w:tcPr>
          <w:p w14:paraId="3A67769B" w14:textId="77777777" w:rsidR="001F7BBB" w:rsidRDefault="001F7BBB" w:rsidP="001F7BBB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7146" w:type="dxa"/>
          </w:tcPr>
          <w:p w14:paraId="2E3DE915" w14:textId="77777777" w:rsidR="001F7BBB" w:rsidRPr="001F7BBB" w:rsidRDefault="001F7BBB" w:rsidP="00E3725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סכומים ששולמו מקופת גמל לקצבה לעמית עצמאי במצב אבטלה יהי</w:t>
            </w:r>
            <w:r w:rsidR="00F952B4">
              <w:rPr>
                <w:rFonts w:hint="cs"/>
                <w:rtl/>
              </w:rPr>
              <w:t>ו הכנסה לעניין סעיף 164 לפקודה.</w:t>
            </w:r>
          </w:p>
        </w:tc>
      </w:tr>
    </w:tbl>
    <w:p w14:paraId="294FADF1" w14:textId="77777777" w:rsidR="00B409C0" w:rsidRDefault="00B409C0" w:rsidP="00307E94"/>
    <w:p w14:paraId="70D0BDCE" w14:textId="77777777" w:rsidR="00B409C0" w:rsidRDefault="00B409C0" w:rsidP="00307E94">
      <w:pPr>
        <w:rPr>
          <w:rtl/>
        </w:rPr>
      </w:pPr>
    </w:p>
    <w:p w14:paraId="130E7E13" w14:textId="77777777" w:rsidR="00B409C0" w:rsidRDefault="00B409C0" w:rsidP="00F952B4">
      <w:pPr>
        <w:rPr>
          <w:rFonts w:eastAsia="Calibri"/>
          <w:rtl/>
        </w:rPr>
      </w:pPr>
      <w:r>
        <w:rPr>
          <w:rFonts w:eastAsia="Calibri" w:hint="cs"/>
          <w:rtl/>
        </w:rPr>
        <w:t xml:space="preserve">___ ב________ </w:t>
      </w:r>
      <w:proofErr w:type="spellStart"/>
      <w:r>
        <w:rPr>
          <w:rFonts w:eastAsia="Calibri" w:hint="cs"/>
          <w:rtl/>
        </w:rPr>
        <w:t>התש</w:t>
      </w:r>
      <w:r w:rsidR="007F577D">
        <w:rPr>
          <w:rFonts w:eastAsia="Calibri" w:hint="cs"/>
          <w:rtl/>
        </w:rPr>
        <w:t>פ"א</w:t>
      </w:r>
      <w:proofErr w:type="spellEnd"/>
      <w:r>
        <w:rPr>
          <w:rFonts w:eastAsia="Calibri" w:hint="cs"/>
          <w:rtl/>
        </w:rPr>
        <w:t xml:space="preserve"> (___ ב________ </w:t>
      </w:r>
      <w:r w:rsidR="007F577D">
        <w:rPr>
          <w:rFonts w:eastAsia="Calibri" w:hint="cs"/>
          <w:rtl/>
        </w:rPr>
        <w:t>2021</w:t>
      </w:r>
      <w:r>
        <w:rPr>
          <w:rFonts w:eastAsia="Calibri" w:hint="cs"/>
          <w:rtl/>
        </w:rPr>
        <w:t>)</w:t>
      </w:r>
    </w:p>
    <w:p w14:paraId="2E076AA8" w14:textId="77777777" w:rsidR="00B409C0" w:rsidRDefault="007F577D" w:rsidP="00F952B4">
      <w:pPr>
        <w:rPr>
          <w:rFonts w:eastAsia="Calibri"/>
          <w:rtl/>
        </w:rPr>
      </w:pPr>
      <w:r w:rsidDel="007F577D">
        <w:rPr>
          <w:rFonts w:eastAsia="Calibri" w:hint="cs"/>
          <w:rtl/>
        </w:rPr>
        <w:t xml:space="preserve"> </w:t>
      </w:r>
      <w:r w:rsidR="00B409C0">
        <w:rPr>
          <w:rFonts w:eastAsia="Calibri" w:hint="cs"/>
          <w:rtl/>
        </w:rPr>
        <w:t>(</w:t>
      </w:r>
      <w:proofErr w:type="spellStart"/>
      <w:r w:rsidR="00B409C0">
        <w:rPr>
          <w:rFonts w:eastAsia="Calibri" w:hint="cs"/>
          <w:rtl/>
        </w:rPr>
        <w:t>חמ</w:t>
      </w:r>
      <w:proofErr w:type="spellEnd"/>
      <w:r w:rsidR="00F952B4">
        <w:rPr>
          <w:rFonts w:eastAsia="Calibri" w:hint="cs"/>
          <w:rtl/>
        </w:rPr>
        <w:t xml:space="preserve"> 3-6207</w:t>
      </w:r>
      <w:r w:rsidR="00B409C0">
        <w:rPr>
          <w:rFonts w:eastAsia="Calibri" w:hint="cs"/>
          <w:rtl/>
        </w:rPr>
        <w:t>)</w:t>
      </w:r>
    </w:p>
    <w:p w14:paraId="6D937B02" w14:textId="77777777" w:rsidR="00B409C0" w:rsidRDefault="00B409C0" w:rsidP="00307E94">
      <w:pPr>
        <w:rPr>
          <w:rFonts w:eastAsia="Calibri"/>
          <w:rtl/>
        </w:rPr>
      </w:pPr>
    </w:p>
    <w:p w14:paraId="4DE2DC9C" w14:textId="77777777" w:rsidR="00B409C0" w:rsidRDefault="00B409C0" w:rsidP="00F952B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__________________</w:t>
      </w:r>
    </w:p>
    <w:p w14:paraId="13362145" w14:textId="77777777" w:rsidR="007F577D" w:rsidRDefault="007F577D" w:rsidP="00307E94">
      <w:pPr>
        <w:ind w:left="5760"/>
        <w:jc w:val="center"/>
        <w:rPr>
          <w:rFonts w:eastAsia="Calibri"/>
          <w:rtl/>
        </w:rPr>
      </w:pPr>
    </w:p>
    <w:p w14:paraId="1EA70A51" w14:textId="77777777" w:rsidR="00B409C0" w:rsidRDefault="007F577D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 xml:space="preserve">ישראל </w:t>
      </w:r>
      <w:proofErr w:type="spellStart"/>
      <w:r>
        <w:rPr>
          <w:rFonts w:eastAsia="Calibri" w:hint="cs"/>
          <w:rtl/>
        </w:rPr>
        <w:t>כ</w:t>
      </w:r>
      <w:r w:rsidR="00F952B4">
        <w:rPr>
          <w:rFonts w:eastAsia="Calibri" w:hint="cs"/>
          <w:rtl/>
        </w:rPr>
        <w:t>"</w:t>
      </w:r>
      <w:r>
        <w:rPr>
          <w:rFonts w:eastAsia="Calibri" w:hint="cs"/>
          <w:rtl/>
        </w:rPr>
        <w:t>ץ</w:t>
      </w:r>
      <w:proofErr w:type="spellEnd"/>
    </w:p>
    <w:p w14:paraId="09438C63" w14:textId="77777777" w:rsidR="007F577D" w:rsidRDefault="007F577D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שר האוצר</w:t>
      </w:r>
    </w:p>
    <w:p w14:paraId="7F6D65F6" w14:textId="77777777" w:rsidR="00B409C0" w:rsidRDefault="00B409C0" w:rsidP="00307E94">
      <w:pPr>
        <w:pStyle w:val="HeadDivreiHesber"/>
        <w:rPr>
          <w:rtl/>
        </w:rPr>
      </w:pPr>
      <w:bookmarkStart w:id="18" w:name="_Toc63791253"/>
      <w:bookmarkStart w:id="19" w:name="_Toc63791269"/>
      <w:bookmarkStart w:id="20" w:name="_Toc63791451"/>
      <w:r>
        <w:rPr>
          <w:rtl/>
        </w:rPr>
        <w:t>דברי הסבר</w:t>
      </w:r>
      <w:bookmarkEnd w:id="18"/>
      <w:bookmarkEnd w:id="19"/>
      <w:bookmarkEnd w:id="20"/>
    </w:p>
    <w:p w14:paraId="22ED90D2" w14:textId="77777777" w:rsidR="00B409C0" w:rsidRPr="00537828" w:rsidRDefault="00B409C0" w:rsidP="00307E94">
      <w:pPr>
        <w:pStyle w:val="Hesber1st"/>
        <w:tabs>
          <w:tab w:val="clear" w:pos="680"/>
        </w:tabs>
        <w:rPr>
          <w:rtl/>
        </w:rPr>
      </w:pPr>
    </w:p>
    <w:p w14:paraId="0ED984E9" w14:textId="77777777" w:rsidR="00EF7810" w:rsidRDefault="00937C46" w:rsidP="00F952B4">
      <w:pPr>
        <w:pStyle w:val="Hesber1st"/>
        <w:tabs>
          <w:tab w:val="clear" w:pos="680"/>
        </w:tabs>
        <w:rPr>
          <w:rtl/>
        </w:rPr>
      </w:pPr>
      <w:r w:rsidRPr="00F952B4">
        <w:rPr>
          <w:rFonts w:hint="cs"/>
          <w:rtl/>
        </w:rPr>
        <w:t>ב</w:t>
      </w:r>
      <w:r w:rsidR="00F21E90" w:rsidRPr="00F952B4">
        <w:rPr>
          <w:rFonts w:hint="cs"/>
          <w:rtl/>
        </w:rPr>
        <w:t>יום 4.2.2021</w:t>
      </w:r>
      <w:r w:rsidRPr="00F952B4">
        <w:rPr>
          <w:rFonts w:hint="cs"/>
          <w:rtl/>
        </w:rPr>
        <w:t xml:space="preserve"> </w:t>
      </w:r>
      <w:r w:rsidR="00F21E90" w:rsidRPr="00F952B4">
        <w:rPr>
          <w:rFonts w:hint="cs"/>
          <w:rtl/>
        </w:rPr>
        <w:t xml:space="preserve">פורסמו ברשומות </w:t>
      </w:r>
      <w:r w:rsidRPr="00F952B4">
        <w:rPr>
          <w:rFonts w:hint="cs"/>
          <w:rtl/>
        </w:rPr>
        <w:t xml:space="preserve">תקנות הפיקוח על שירותים פיננסיים </w:t>
      </w:r>
      <w:r w:rsidR="00F21E90" w:rsidRPr="00F952B4">
        <w:rPr>
          <w:rFonts w:hint="cs"/>
          <w:rtl/>
        </w:rPr>
        <w:t>(קופות גמל) (משיכת כספים של עמית עצמאי במצב אבטלה) (הוראת שעה), התשפ"א-2021 (להלן: "תקנות הפיקוח")</w:t>
      </w:r>
      <w:r w:rsidR="004C72F3" w:rsidRPr="00F952B4">
        <w:rPr>
          <w:rFonts w:hint="cs"/>
          <w:rtl/>
        </w:rPr>
        <w:t>,</w:t>
      </w:r>
      <w:r w:rsidR="00F21E90" w:rsidRPr="00F952B4">
        <w:rPr>
          <w:rFonts w:hint="cs"/>
          <w:rtl/>
        </w:rPr>
        <w:t xml:space="preserve"> </w:t>
      </w:r>
      <w:r w:rsidR="004C72F3" w:rsidRPr="00F952B4">
        <w:rPr>
          <w:rFonts w:hint="cs"/>
          <w:rtl/>
        </w:rPr>
        <w:t>ש</w:t>
      </w:r>
      <w:r w:rsidR="0009322E" w:rsidRPr="00F952B4">
        <w:rPr>
          <w:rFonts w:hint="cs"/>
          <w:rtl/>
        </w:rPr>
        <w:t xml:space="preserve">הותקנו מכוח סעיף 23(ב3) לחוק הפיקוח על שירותים פיננסיים (קופות גמל) התשס"ה-2005. סעיף 23(ב3) התווסף </w:t>
      </w:r>
      <w:r w:rsidR="0009322E" w:rsidRPr="00F952B4">
        <w:rPr>
          <w:rFonts w:hint="cs"/>
          <w:rtl/>
        </w:rPr>
        <w:lastRenderedPageBreak/>
        <w:t>במסגרת חוק ההתייעלות</w:t>
      </w:r>
      <w:r w:rsidR="004C72F3" w:rsidRPr="00F952B4">
        <w:rPr>
          <w:rFonts w:hint="cs"/>
          <w:rtl/>
        </w:rPr>
        <w:t xml:space="preserve"> הכלכלית (תיקוני חקיקה להשגת יעדי התקציב לשנות התקציב  2017 ו-2018)</w:t>
      </w:r>
      <w:r w:rsidR="0009322E" w:rsidRPr="00F952B4">
        <w:rPr>
          <w:rFonts w:hint="cs"/>
          <w:rtl/>
        </w:rPr>
        <w:t>,</w:t>
      </w:r>
      <w:r w:rsidR="004C72F3" w:rsidRPr="00F952B4">
        <w:rPr>
          <w:rFonts w:hint="cs"/>
          <w:rtl/>
        </w:rPr>
        <w:t xml:space="preserve"> התשע"ז-2016</w:t>
      </w:r>
      <w:r w:rsidR="0009322E" w:rsidRPr="00F952B4">
        <w:rPr>
          <w:rFonts w:hint="cs"/>
          <w:rtl/>
        </w:rPr>
        <w:t xml:space="preserve"> שהסדיר ב</w:t>
      </w:r>
      <w:r w:rsidR="00505CD7" w:rsidRPr="00F952B4">
        <w:rPr>
          <w:rFonts w:hint="cs"/>
          <w:rtl/>
        </w:rPr>
        <w:t>חלק שעסק</w:t>
      </w:r>
      <w:r w:rsidR="0009322E" w:rsidRPr="00F952B4">
        <w:rPr>
          <w:rFonts w:hint="cs"/>
          <w:rtl/>
        </w:rPr>
        <w:t xml:space="preserve"> </w:t>
      </w:r>
      <w:r w:rsidR="00505CD7" w:rsidRPr="00F952B4">
        <w:rPr>
          <w:rFonts w:hint="cs"/>
          <w:rtl/>
        </w:rPr>
        <w:t>ב</w:t>
      </w:r>
      <w:r w:rsidR="0009322E" w:rsidRPr="00F952B4">
        <w:rPr>
          <w:rFonts w:hint="cs"/>
          <w:rtl/>
        </w:rPr>
        <w:t>חיסכון וסיוע לעצמאים</w:t>
      </w:r>
      <w:r w:rsidR="00505CD7" w:rsidRPr="00F952B4">
        <w:rPr>
          <w:rFonts w:hint="cs"/>
          <w:rtl/>
        </w:rPr>
        <w:t xml:space="preserve"> (פרק ב' לחוק)</w:t>
      </w:r>
      <w:r w:rsidR="0009322E" w:rsidRPr="00F952B4">
        <w:rPr>
          <w:rFonts w:hint="cs"/>
          <w:rtl/>
        </w:rPr>
        <w:t xml:space="preserve"> את העיקרון לפיו חלק מההפקדה (כשליש) לקופת גמל לקצבה שמבצע עמית עצמאי , ייוחס למרכיב חיסכון באבטלה, שאותו העצמאי יוכל למשוך בהגיעו למצב אבטלה. נקבע כי הסעיף יכנס לתוקף רק כאשר יותקנו התקנות מכוחו. </w:t>
      </w:r>
      <w:r w:rsidR="00505CD7" w:rsidRPr="00F952B4">
        <w:rPr>
          <w:rFonts w:hint="cs"/>
          <w:rtl/>
        </w:rPr>
        <w:t xml:space="preserve">כאמור, </w:t>
      </w:r>
      <w:r w:rsidR="0009322E" w:rsidRPr="00F952B4">
        <w:rPr>
          <w:rFonts w:hint="cs"/>
          <w:rtl/>
        </w:rPr>
        <w:t>ביום 4.2.2021 נכנסו לתוקף תקנות הפיקוח</w:t>
      </w:r>
      <w:r w:rsidR="00505CD7" w:rsidRPr="00F952B4">
        <w:rPr>
          <w:rFonts w:hint="cs"/>
          <w:rtl/>
        </w:rPr>
        <w:t xml:space="preserve"> מכוח החוק</w:t>
      </w:r>
      <w:r w:rsidR="0009322E" w:rsidRPr="00F952B4">
        <w:rPr>
          <w:rFonts w:hint="cs"/>
          <w:rtl/>
        </w:rPr>
        <w:t>.</w:t>
      </w:r>
      <w:r w:rsidR="00F952B4">
        <w:rPr>
          <w:rtl/>
        </w:rPr>
        <w:t xml:space="preserve"> </w:t>
      </w:r>
    </w:p>
    <w:p w14:paraId="49CC9019" w14:textId="77777777" w:rsidR="0009322E" w:rsidRPr="00F952B4" w:rsidRDefault="0009322E" w:rsidP="00F952B4">
      <w:pPr>
        <w:pStyle w:val="Hesber"/>
        <w:rPr>
          <w:rtl/>
        </w:rPr>
      </w:pPr>
      <w:r w:rsidRPr="00F952B4">
        <w:rPr>
          <w:rFonts w:hint="cs"/>
          <w:rtl/>
        </w:rPr>
        <w:t>במסגרת חוק ההתייעלות  תוקנה פקודת מס הכנסה ונקבע כי סכומים שמשך יחיד מקופת גמל לקצבה לפי סעיף 23(ב3) יראו אותם כהכנסה</w:t>
      </w:r>
      <w:r w:rsidR="00E37251" w:rsidRPr="00F952B4">
        <w:rPr>
          <w:rFonts w:hint="cs"/>
          <w:rtl/>
        </w:rPr>
        <w:t xml:space="preserve"> חייבת במס</w:t>
      </w:r>
      <w:r w:rsidRPr="00F952B4">
        <w:rPr>
          <w:rFonts w:hint="cs"/>
          <w:rtl/>
        </w:rPr>
        <w:t xml:space="preserve"> לפי הפקודה. בנוסף נחקק סעיף  הקובע פטור </w:t>
      </w:r>
      <w:r w:rsidR="00CC096E" w:rsidRPr="00F952B4">
        <w:rPr>
          <w:rFonts w:hint="cs"/>
          <w:rtl/>
        </w:rPr>
        <w:t xml:space="preserve">ממס </w:t>
      </w:r>
      <w:r w:rsidRPr="00F952B4">
        <w:rPr>
          <w:rFonts w:hint="cs"/>
          <w:rtl/>
        </w:rPr>
        <w:t xml:space="preserve">על </w:t>
      </w:r>
      <w:r w:rsidR="00E37251" w:rsidRPr="00F952B4">
        <w:rPr>
          <w:rFonts w:hint="cs"/>
          <w:rtl/>
        </w:rPr>
        <w:t>ה</w:t>
      </w:r>
      <w:r w:rsidRPr="00F952B4">
        <w:rPr>
          <w:rFonts w:hint="cs"/>
          <w:rtl/>
        </w:rPr>
        <w:t xml:space="preserve">סכומים </w:t>
      </w:r>
      <w:r w:rsidR="00E37251" w:rsidRPr="00F952B4">
        <w:rPr>
          <w:rFonts w:hint="cs"/>
          <w:rtl/>
        </w:rPr>
        <w:t>שנמשכו כאמור, בכפוף לתקר</w:t>
      </w:r>
      <w:r w:rsidR="004E347F" w:rsidRPr="00F952B4">
        <w:rPr>
          <w:rFonts w:hint="cs"/>
          <w:rtl/>
        </w:rPr>
        <w:t>ה</w:t>
      </w:r>
      <w:r w:rsidR="00CC096E" w:rsidRPr="00F952B4">
        <w:rPr>
          <w:rFonts w:hint="cs"/>
          <w:rtl/>
        </w:rPr>
        <w:t xml:space="preserve"> </w:t>
      </w:r>
      <w:r w:rsidR="00E37251" w:rsidRPr="00F952B4">
        <w:rPr>
          <w:rFonts w:hint="cs"/>
          <w:rtl/>
        </w:rPr>
        <w:t xml:space="preserve">שנקבעה </w:t>
      </w:r>
      <w:r w:rsidR="004E347F" w:rsidRPr="00F952B4">
        <w:rPr>
          <w:rFonts w:hint="cs"/>
          <w:rtl/>
        </w:rPr>
        <w:t>בו</w:t>
      </w:r>
      <w:r w:rsidR="00E37251" w:rsidRPr="00F952B4">
        <w:rPr>
          <w:rFonts w:hint="cs"/>
          <w:rtl/>
        </w:rPr>
        <w:t>.</w:t>
      </w:r>
      <w:r w:rsidRPr="00F952B4">
        <w:rPr>
          <w:rFonts w:hint="cs"/>
          <w:rtl/>
        </w:rPr>
        <w:t xml:space="preserve"> </w:t>
      </w:r>
    </w:p>
    <w:p w14:paraId="47C0E46D" w14:textId="77777777" w:rsidR="0009322E" w:rsidRPr="00F952B4" w:rsidRDefault="0009322E" w:rsidP="00F952B4">
      <w:pPr>
        <w:pStyle w:val="Hesber"/>
        <w:rPr>
          <w:rtl/>
        </w:rPr>
      </w:pPr>
      <w:r w:rsidRPr="00F952B4">
        <w:rPr>
          <w:rFonts w:hint="cs"/>
          <w:rtl/>
        </w:rPr>
        <w:t>במקרים בהם</w:t>
      </w:r>
      <w:r w:rsidR="00264DE1" w:rsidRPr="00F952B4">
        <w:rPr>
          <w:rFonts w:hint="cs"/>
          <w:rtl/>
        </w:rPr>
        <w:t xml:space="preserve"> יבקש</w:t>
      </w:r>
      <w:r w:rsidRPr="00F952B4">
        <w:rPr>
          <w:rFonts w:hint="cs"/>
          <w:rtl/>
        </w:rPr>
        <w:t xml:space="preserve"> העמית העצמאי  למשוך את הסכום שלא בפטור</w:t>
      </w:r>
      <w:r w:rsidR="00910276" w:rsidRPr="00F952B4">
        <w:rPr>
          <w:rFonts w:hint="cs"/>
          <w:rtl/>
        </w:rPr>
        <w:t xml:space="preserve"> ממס</w:t>
      </w:r>
      <w:r w:rsidRPr="00F952B4">
        <w:rPr>
          <w:rFonts w:hint="cs"/>
          <w:rtl/>
        </w:rPr>
        <w:t xml:space="preserve">, או בסכום </w:t>
      </w:r>
      <w:r w:rsidR="00264DE1" w:rsidRPr="00F952B4">
        <w:rPr>
          <w:rFonts w:hint="cs"/>
          <w:rtl/>
        </w:rPr>
        <w:t>ש</w:t>
      </w:r>
      <w:r w:rsidRPr="00F952B4">
        <w:rPr>
          <w:rFonts w:hint="cs"/>
          <w:rtl/>
        </w:rPr>
        <w:t xml:space="preserve">מעבר לתקרת הפטור, </w:t>
      </w:r>
      <w:r w:rsidR="003242FE" w:rsidRPr="00F952B4">
        <w:rPr>
          <w:rFonts w:hint="cs"/>
          <w:rtl/>
        </w:rPr>
        <w:t xml:space="preserve">על </w:t>
      </w:r>
      <w:r w:rsidRPr="00F952B4">
        <w:rPr>
          <w:rFonts w:hint="cs"/>
          <w:rtl/>
        </w:rPr>
        <w:t>קופת הגמל לנכות מהסכום הנמשך מס במקור</w:t>
      </w:r>
      <w:r w:rsidR="00E37B16" w:rsidRPr="00F952B4">
        <w:rPr>
          <w:rFonts w:hint="cs"/>
          <w:rtl/>
        </w:rPr>
        <w:t>, מאחר שמדובר בהכנסה</w:t>
      </w:r>
      <w:r w:rsidR="00E37251" w:rsidRPr="00F952B4">
        <w:rPr>
          <w:rFonts w:hint="cs"/>
          <w:rtl/>
        </w:rPr>
        <w:t xml:space="preserve"> חייבת במס</w:t>
      </w:r>
      <w:r w:rsidR="003F565A" w:rsidRPr="00F952B4">
        <w:rPr>
          <w:rFonts w:hint="cs"/>
          <w:rtl/>
        </w:rPr>
        <w:t>, ובהתאם להסדרה הק</w:t>
      </w:r>
      <w:r w:rsidR="00264DE1" w:rsidRPr="00F952B4">
        <w:rPr>
          <w:rFonts w:hint="cs"/>
          <w:rtl/>
        </w:rPr>
        <w:t>יימת</w:t>
      </w:r>
      <w:r w:rsidR="003F565A" w:rsidRPr="00F952B4">
        <w:rPr>
          <w:rFonts w:hint="cs"/>
          <w:rtl/>
        </w:rPr>
        <w:t xml:space="preserve"> בעניין משיכת כספים מקופת גמל</w:t>
      </w:r>
      <w:r w:rsidR="00E37B16" w:rsidRPr="00F952B4">
        <w:rPr>
          <w:rFonts w:hint="cs"/>
          <w:rtl/>
        </w:rPr>
        <w:t>.</w:t>
      </w:r>
      <w:r w:rsidRPr="00F952B4">
        <w:rPr>
          <w:rFonts w:hint="cs"/>
          <w:rtl/>
        </w:rPr>
        <w:t xml:space="preserve"> </w:t>
      </w:r>
    </w:p>
    <w:p w14:paraId="4E07FF2A" w14:textId="77777777" w:rsidR="0009322E" w:rsidRPr="00F952B4" w:rsidRDefault="0009322E" w:rsidP="00F952B4">
      <w:pPr>
        <w:pStyle w:val="Hesber"/>
        <w:rPr>
          <w:rtl/>
        </w:rPr>
      </w:pPr>
      <w:r w:rsidRPr="00F952B4">
        <w:rPr>
          <w:rFonts w:hint="cs"/>
          <w:rtl/>
        </w:rPr>
        <w:t>בהתאם לסמכות הקבועה בסעיף 164 לפקודה, הצו המוצע יקבע הוראת ניכוי במקור לקופות הגמל על הסכום הנמשך על ידי העמית- העצמאי במצב זה</w:t>
      </w:r>
      <w:r w:rsidR="00E37251" w:rsidRPr="00F952B4">
        <w:rPr>
          <w:rFonts w:hint="cs"/>
          <w:rtl/>
        </w:rPr>
        <w:t xml:space="preserve"> כמפורט בצו</w:t>
      </w:r>
      <w:r w:rsidRPr="00F952B4">
        <w:rPr>
          <w:rFonts w:hint="cs"/>
          <w:rtl/>
        </w:rPr>
        <w:t>.</w:t>
      </w:r>
    </w:p>
    <w:p w14:paraId="23D4D8BC" w14:textId="77777777" w:rsidR="0009322E" w:rsidRPr="00F952B4" w:rsidRDefault="0009322E" w:rsidP="00F952B4">
      <w:pPr>
        <w:pStyle w:val="Hesber"/>
        <w:rPr>
          <w:rtl/>
        </w:rPr>
      </w:pPr>
    </w:p>
    <w:p w14:paraId="378B5C0B" w14:textId="77777777" w:rsidR="00937C46" w:rsidRDefault="00937C46">
      <w:pPr>
        <w:rPr>
          <w:rtl/>
        </w:rPr>
      </w:pPr>
    </w:p>
    <w:p w14:paraId="7856F13A" w14:textId="77777777" w:rsidR="00937C46" w:rsidRDefault="00937C46">
      <w:r>
        <w:rPr>
          <w:rtl/>
        </w:rPr>
        <w:tab/>
      </w:r>
    </w:p>
    <w:sectPr w:rsidR="00937C46" w:rsidSect="00B409C0">
      <w:pgSz w:w="11906" w:h="16838"/>
      <w:pgMar w:top="1701" w:right="1134" w:bottom="141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99B2F" w14:textId="77777777" w:rsidR="00941D7D" w:rsidRDefault="00941D7D" w:rsidP="00B409C0">
      <w:pPr>
        <w:spacing w:line="240" w:lineRule="auto"/>
      </w:pPr>
      <w:r>
        <w:separator/>
      </w:r>
    </w:p>
  </w:endnote>
  <w:endnote w:type="continuationSeparator" w:id="0">
    <w:p w14:paraId="5239EE64" w14:textId="77777777" w:rsidR="00941D7D" w:rsidRDefault="00941D7D" w:rsidP="00B40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97F98" w14:textId="77777777" w:rsidR="00941D7D" w:rsidRDefault="00941D7D" w:rsidP="00B409C0">
      <w:pPr>
        <w:spacing w:line="240" w:lineRule="auto"/>
      </w:pPr>
      <w:r>
        <w:separator/>
      </w:r>
    </w:p>
  </w:footnote>
  <w:footnote w:type="continuationSeparator" w:id="0">
    <w:p w14:paraId="1C3ED662" w14:textId="77777777" w:rsidR="00941D7D" w:rsidRDefault="00941D7D" w:rsidP="00B409C0">
      <w:pPr>
        <w:spacing w:line="240" w:lineRule="auto"/>
      </w:pPr>
      <w:r>
        <w:continuationSeparator/>
      </w:r>
    </w:p>
  </w:footnote>
  <w:footnote w:id="1">
    <w:p w14:paraId="07FDD984" w14:textId="77777777" w:rsidR="00B409C0" w:rsidRDefault="00B409C0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="008E7AFB">
        <w:rPr>
          <w:rFonts w:hint="cs"/>
          <w:rtl/>
        </w:rPr>
        <w:t>דיני מדינת ישראל, נוסח חדש 6, עמ' 120.</w:t>
      </w:r>
    </w:p>
  </w:footnote>
  <w:footnote w:id="2">
    <w:p w14:paraId="308E5094" w14:textId="77777777" w:rsidR="00DE01E9" w:rsidRDefault="00DE01E9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r>
        <w:rPr>
          <w:rFonts w:hint="cs"/>
          <w:rtl/>
        </w:rPr>
        <w:t>התשס"ח, עמ' 889; התשע"ז, עמ' 222.</w:t>
      </w:r>
    </w:p>
  </w:footnote>
  <w:footnote w:id="3">
    <w:p w14:paraId="5EB61D5F" w14:textId="77777777" w:rsidR="008E7AFB" w:rsidRDefault="008E7AFB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="004A1557">
        <w:rPr>
          <w:rFonts w:hint="cs"/>
          <w:rtl/>
        </w:rPr>
        <w:t xml:space="preserve">ק"ת </w:t>
      </w:r>
      <w:r w:rsidR="008C40B9">
        <w:rPr>
          <w:rFonts w:hint="cs"/>
          <w:rtl/>
        </w:rPr>
        <w:t>התשפ"א, עמ' 1828.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C0"/>
    <w:rsid w:val="0009322E"/>
    <w:rsid w:val="000B5F46"/>
    <w:rsid w:val="001F7BBB"/>
    <w:rsid w:val="002279B5"/>
    <w:rsid w:val="002570E9"/>
    <w:rsid w:val="00264DE1"/>
    <w:rsid w:val="00300E0A"/>
    <w:rsid w:val="003128CE"/>
    <w:rsid w:val="003242FE"/>
    <w:rsid w:val="003A3E85"/>
    <w:rsid w:val="003F565A"/>
    <w:rsid w:val="004A1557"/>
    <w:rsid w:val="004C72F3"/>
    <w:rsid w:val="004D34EA"/>
    <w:rsid w:val="004E347F"/>
    <w:rsid w:val="00505CD7"/>
    <w:rsid w:val="005E0435"/>
    <w:rsid w:val="00685FAA"/>
    <w:rsid w:val="006D0AC8"/>
    <w:rsid w:val="00723806"/>
    <w:rsid w:val="00765B15"/>
    <w:rsid w:val="00777CBC"/>
    <w:rsid w:val="00790561"/>
    <w:rsid w:val="007F577D"/>
    <w:rsid w:val="008C40B9"/>
    <w:rsid w:val="008E7933"/>
    <w:rsid w:val="008E7AFB"/>
    <w:rsid w:val="00910276"/>
    <w:rsid w:val="00937C46"/>
    <w:rsid w:val="00941D7D"/>
    <w:rsid w:val="00953C83"/>
    <w:rsid w:val="009822B4"/>
    <w:rsid w:val="00985D2E"/>
    <w:rsid w:val="009867C4"/>
    <w:rsid w:val="009F26A1"/>
    <w:rsid w:val="00AC1935"/>
    <w:rsid w:val="00AE6B09"/>
    <w:rsid w:val="00B15C2E"/>
    <w:rsid w:val="00B22FD1"/>
    <w:rsid w:val="00B409C0"/>
    <w:rsid w:val="00BA2557"/>
    <w:rsid w:val="00CC096E"/>
    <w:rsid w:val="00CE7716"/>
    <w:rsid w:val="00D36C60"/>
    <w:rsid w:val="00DE01E9"/>
    <w:rsid w:val="00E37251"/>
    <w:rsid w:val="00E37B16"/>
    <w:rsid w:val="00EB3317"/>
    <w:rsid w:val="00F21E90"/>
    <w:rsid w:val="00F952B4"/>
    <w:rsid w:val="00F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E93E"/>
  <w15:chartTrackingRefBased/>
  <w15:docId w15:val="{F95D3764-7330-487A-B909-5754FC86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B15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5B15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765B15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765B15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765B15"/>
    <w:pPr>
      <w:numPr>
        <w:numId w:val="1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65B15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65B15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40">
    <w:name w:val="כותרת 4 תו"/>
    <w:basedOn w:val="a0"/>
    <w:link w:val="4"/>
    <w:uiPriority w:val="9"/>
    <w:rsid w:val="00765B15"/>
    <w:rPr>
      <w:rFonts w:ascii="David" w:hAnsi="David" w:cs="David"/>
      <w:b/>
      <w:bCs/>
      <w:color w:val="000000" w:themeColor="text1"/>
      <w:sz w:val="24"/>
      <w:szCs w:val="28"/>
    </w:rPr>
  </w:style>
  <w:style w:type="paragraph" w:customStyle="1" w:styleId="TableText">
    <w:name w:val="Table Text"/>
    <w:basedOn w:val="a"/>
    <w:rsid w:val="00765B15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765B15"/>
    <w:pPr>
      <w:outlineLvl w:val="2"/>
    </w:pPr>
  </w:style>
  <w:style w:type="paragraph" w:customStyle="1" w:styleId="TableBlock">
    <w:name w:val="Table Block"/>
    <w:basedOn w:val="TableText"/>
    <w:rsid w:val="00765B15"/>
    <w:pPr>
      <w:jc w:val="both"/>
    </w:pPr>
  </w:style>
  <w:style w:type="paragraph" w:customStyle="1" w:styleId="TableHead">
    <w:name w:val="Table Head"/>
    <w:basedOn w:val="TableText"/>
    <w:rsid w:val="00765B15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765B15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765B15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1st">
    <w:name w:val="Hesber 1st"/>
    <w:basedOn w:val="Hesber"/>
    <w:rsid w:val="00765B15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765B15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20">
    <w:name w:val="כותרת 2 תו"/>
    <w:basedOn w:val="a0"/>
    <w:link w:val="2"/>
    <w:rsid w:val="00765B15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765B15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50">
    <w:name w:val="כותרת 5 תו"/>
    <w:basedOn w:val="a0"/>
    <w:link w:val="5"/>
    <w:uiPriority w:val="9"/>
    <w:rsid w:val="00765B15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765B15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765B15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B409C0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765B15"/>
    <w:pPr>
      <w:outlineLvl w:val="9"/>
    </w:pPr>
  </w:style>
  <w:style w:type="paragraph" w:customStyle="1" w:styleId="Hesber">
    <w:name w:val="Hesber"/>
    <w:basedOn w:val="a"/>
    <w:rsid w:val="00765B15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765B15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B409C0"/>
    <w:rPr>
      <w:rFonts w:ascii="Arial" w:eastAsia="Arial Unicode MS" w:hAnsi="Arial" w:cs="David"/>
      <w:snapToGrid w:val="0"/>
      <w:sz w:val="14"/>
      <w:szCs w:val="20"/>
    </w:rPr>
  </w:style>
  <w:style w:type="character" w:styleId="a7">
    <w:name w:val="footnote reference"/>
    <w:aliases w:val="Footnote Reference"/>
    <w:basedOn w:val="a0"/>
    <w:semiHidden/>
    <w:rsid w:val="00765B15"/>
    <w:rPr>
      <w:vertAlign w:val="superscript"/>
    </w:rPr>
  </w:style>
  <w:style w:type="paragraph" w:customStyle="1" w:styleId="HesberHeading">
    <w:name w:val="Hesber Heading"/>
    <w:basedOn w:val="Hesber"/>
    <w:rsid w:val="00765B15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765B15"/>
    <w:pPr>
      <w:spacing w:before="120" w:after="120"/>
      <w:ind w:left="1418"/>
      <w:jc w:val="right"/>
    </w:pPr>
    <w:rPr>
      <w:b/>
      <w:bCs/>
    </w:rPr>
  </w:style>
  <w:style w:type="character" w:styleId="a8">
    <w:name w:val="endnote reference"/>
    <w:basedOn w:val="a0"/>
    <w:semiHidden/>
    <w:rsid w:val="00765B15"/>
    <w:rPr>
      <w:vertAlign w:val="superscript"/>
    </w:rPr>
  </w:style>
  <w:style w:type="paragraph" w:customStyle="1" w:styleId="TableBlockOutdent">
    <w:name w:val="Table BlockOutdent"/>
    <w:basedOn w:val="TableBlock"/>
    <w:rsid w:val="00765B15"/>
    <w:pPr>
      <w:ind w:left="624" w:hanging="624"/>
    </w:pPr>
  </w:style>
  <w:style w:type="paragraph" w:styleId="a9">
    <w:name w:val="header"/>
    <w:basedOn w:val="a"/>
    <w:link w:val="aa"/>
    <w:rsid w:val="00765B15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B409C0"/>
    <w:rPr>
      <w:rFonts w:ascii="David" w:hAnsi="David" w:cs="David"/>
      <w:sz w:val="24"/>
      <w:szCs w:val="24"/>
    </w:rPr>
  </w:style>
  <w:style w:type="paragraph" w:styleId="ab">
    <w:name w:val="footer"/>
    <w:basedOn w:val="a"/>
    <w:link w:val="ac"/>
    <w:rsid w:val="00765B15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B409C0"/>
    <w:rPr>
      <w:rFonts w:ascii="David" w:hAnsi="David" w:cs="David"/>
      <w:sz w:val="24"/>
      <w:szCs w:val="24"/>
    </w:rPr>
  </w:style>
  <w:style w:type="character" w:styleId="ad">
    <w:name w:val="page number"/>
    <w:basedOn w:val="a0"/>
    <w:rsid w:val="00765B15"/>
  </w:style>
  <w:style w:type="paragraph" w:customStyle="1" w:styleId="Cover1-Reshumot">
    <w:name w:val="Cover 1-Reshumot"/>
    <w:basedOn w:val="a"/>
    <w:rsid w:val="00765B15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765B15"/>
    <w:rPr>
      <w:sz w:val="36"/>
      <w:szCs w:val="52"/>
    </w:rPr>
  </w:style>
  <w:style w:type="paragraph" w:customStyle="1" w:styleId="Cover3-Haknesset">
    <w:name w:val="Cover 3-Haknesset"/>
    <w:basedOn w:val="Cover1-Reshumot"/>
    <w:rsid w:val="00765B15"/>
    <w:rPr>
      <w:b/>
      <w:bCs/>
      <w:spacing w:val="60"/>
    </w:rPr>
  </w:style>
  <w:style w:type="paragraph" w:customStyle="1" w:styleId="Cover4-Date">
    <w:name w:val="Cover 4-Date"/>
    <w:basedOn w:val="a"/>
    <w:rsid w:val="00765B15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765B15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765B15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765B15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765B15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765B15"/>
    <w:rPr>
      <w:color w:val="0563C1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765B15"/>
    <w:pPr>
      <w:numPr>
        <w:numId w:val="19"/>
      </w:numPr>
      <w:tabs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iPriority w:val="39"/>
    <w:unhideWhenUsed/>
    <w:qFormat/>
    <w:rsid w:val="00765B15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765B15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765B15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765B15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765B15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765B15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765B15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765B15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765B15"/>
    <w:rPr>
      <w:rFonts w:eastAsia="Times New Roman"/>
    </w:rPr>
  </w:style>
  <w:style w:type="paragraph" w:styleId="af">
    <w:name w:val="List Paragraph"/>
    <w:basedOn w:val="a"/>
    <w:uiPriority w:val="34"/>
    <w:qFormat/>
    <w:rsid w:val="00765B15"/>
    <w:pPr>
      <w:widowControl/>
      <w:spacing w:line="259" w:lineRule="auto"/>
    </w:pPr>
    <w:rPr>
      <w:rFonts w:asciiTheme="minorHAnsi" w:hAnsiTheme="minorHAnsi"/>
      <w:sz w:val="22"/>
    </w:rPr>
  </w:style>
  <w:style w:type="table" w:styleId="af0">
    <w:name w:val="Table Grid"/>
    <w:basedOn w:val="a1"/>
    <w:rsid w:val="00765B1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765B1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765B1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1">
    <w:name w:val="טבלת חקיקה"/>
    <w:basedOn w:val="a1"/>
    <w:uiPriority w:val="99"/>
    <w:rsid w:val="00765B15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765B1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paragraph" w:styleId="af2">
    <w:name w:val="Balloon Text"/>
    <w:basedOn w:val="a"/>
    <w:link w:val="af3"/>
    <w:uiPriority w:val="99"/>
    <w:semiHidden/>
    <w:unhideWhenUsed/>
    <w:rsid w:val="007F577D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3">
    <w:name w:val="טקסט בלונים תו"/>
    <w:basedOn w:val="a0"/>
    <w:link w:val="af2"/>
    <w:uiPriority w:val="99"/>
    <w:semiHidden/>
    <w:rsid w:val="007F577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EF21-A79A-4816-8AC8-A355E214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אפרת ריץ</dc:creator>
  <cp:keywords/>
  <dc:description/>
  <cp:lastModifiedBy>Dalia</cp:lastModifiedBy>
  <cp:revision>2</cp:revision>
  <dcterms:created xsi:type="dcterms:W3CDTF">2021-02-11T06:08:00Z</dcterms:created>
  <dcterms:modified xsi:type="dcterms:W3CDTF">2021-02-11T06:08:00Z</dcterms:modified>
</cp:coreProperties>
</file>