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4252E" w14:textId="77777777" w:rsidR="00155D8F" w:rsidRDefault="00155D8F" w:rsidP="005F0271">
      <w:pPr>
        <w:jc w:val="center"/>
        <w:rPr>
          <w:b/>
          <w:bCs/>
          <w:sz w:val="26"/>
          <w:szCs w:val="26"/>
          <w:rtl/>
        </w:rPr>
      </w:pPr>
      <w:r>
        <w:rPr>
          <w:noProof/>
        </w:rPr>
        <w:drawing>
          <wp:inline distT="0" distB="0" distL="0" distR="0" wp14:anchorId="0A8CFB2D" wp14:editId="5D8CAA90">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14:paraId="6E933ADD" w14:textId="77777777" w:rsidR="00155D8F" w:rsidRDefault="00155D8F" w:rsidP="005F0271">
      <w:pPr>
        <w:rPr>
          <w:b/>
          <w:bCs/>
          <w:sz w:val="26"/>
          <w:szCs w:val="26"/>
          <w:rtl/>
        </w:rPr>
      </w:pPr>
      <w:r w:rsidRPr="00CB5068">
        <w:rPr>
          <w:b/>
          <w:bCs/>
          <w:sz w:val="26"/>
          <w:szCs w:val="26"/>
          <w:rtl/>
        </w:rPr>
        <w:t>תוכן עניינים</w:t>
      </w:r>
    </w:p>
    <w:p w14:paraId="2146125E" w14:textId="77777777" w:rsidR="00155D8F" w:rsidRDefault="00155D8F" w:rsidP="00155D8F">
      <w:pPr>
        <w:pStyle w:val="TOC1"/>
        <w:rPr>
          <w:rFonts w:asciiTheme="minorHAnsi" w:eastAsiaTheme="minorEastAsia" w:hAnsiTheme="minorHAnsi" w:cstheme="minorBidi"/>
          <w:bCs w:val="0"/>
          <w:noProof/>
          <w:sz w:val="22"/>
          <w:rtl/>
        </w:rPr>
      </w:pPr>
      <w:r>
        <w:rPr>
          <w:rtl/>
        </w:rPr>
        <w:fldChar w:fldCharType="begin"/>
      </w:r>
      <w:r>
        <w:rPr>
          <w:rtl/>
        </w:rPr>
        <w:instrText xml:space="preserve"> </w:instrText>
      </w:r>
      <w:r>
        <w:instrText>TOC</w:instrText>
      </w:r>
      <w:r>
        <w:rPr>
          <w:rtl/>
        </w:rPr>
        <w:instrText xml:space="preserve"> \</w:instrText>
      </w:r>
      <w:r>
        <w:instrText>o "1-9" \h \z \t "Table SideHeading,3,Table Head,2,Head HatzaotHok,1,Head DivreiHesber,2,Head HatzaotHok4Futer,1</w:instrText>
      </w:r>
      <w:r>
        <w:rPr>
          <w:rtl/>
        </w:rPr>
        <w:instrText xml:space="preserve">" </w:instrText>
      </w:r>
      <w:r>
        <w:rPr>
          <w:rtl/>
        </w:rPr>
        <w:fldChar w:fldCharType="separate"/>
      </w:r>
      <w:hyperlink w:anchor="_Toc53333083" w:history="1">
        <w:r w:rsidRPr="00DA2582">
          <w:rPr>
            <w:rStyle w:val="Hyperlink"/>
            <w:noProof/>
            <w:rtl/>
          </w:rPr>
          <w:t>טיוטת תקנות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Toc53333083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14:paraId="183B7126" w14:textId="77777777" w:rsidR="00155D8F" w:rsidRDefault="00224552" w:rsidP="00155D8F">
      <w:pPr>
        <w:pStyle w:val="TOC4"/>
        <w:rPr>
          <w:rFonts w:cstheme="minorBidi"/>
          <w:rtl/>
        </w:rPr>
      </w:pPr>
      <w:hyperlink w:anchor="_Toc53333084" w:history="1">
        <w:r w:rsidR="00155D8F" w:rsidRPr="00DA2582">
          <w:rPr>
            <w:rStyle w:val="Hyperlink"/>
            <w:rtl/>
          </w:rPr>
          <w:t>א. שם התקנות המוצעות</w:t>
        </w:r>
        <w:r w:rsidR="00155D8F">
          <w:rPr>
            <w:webHidden/>
            <w:rtl/>
          </w:rPr>
          <w:tab/>
        </w:r>
        <w:r w:rsidR="00155D8F">
          <w:rPr>
            <w:rStyle w:val="Hyperlink"/>
            <w:rtl/>
          </w:rPr>
          <w:fldChar w:fldCharType="begin"/>
        </w:r>
        <w:r w:rsidR="00155D8F">
          <w:rPr>
            <w:webHidden/>
            <w:rtl/>
          </w:rPr>
          <w:instrText xml:space="preserve"> </w:instrText>
        </w:r>
        <w:r w:rsidR="00155D8F">
          <w:rPr>
            <w:webHidden/>
          </w:rPr>
          <w:instrText>PAGEREF</w:instrText>
        </w:r>
        <w:r w:rsidR="00155D8F">
          <w:rPr>
            <w:webHidden/>
            <w:rtl/>
          </w:rPr>
          <w:instrText xml:space="preserve"> _</w:instrText>
        </w:r>
        <w:r w:rsidR="00155D8F">
          <w:rPr>
            <w:webHidden/>
          </w:rPr>
          <w:instrText>Toc53333084 \h</w:instrText>
        </w:r>
        <w:r w:rsidR="00155D8F">
          <w:rPr>
            <w:webHidden/>
            <w:rtl/>
          </w:rPr>
          <w:instrText xml:space="preserve"> </w:instrText>
        </w:r>
        <w:r w:rsidR="00155D8F">
          <w:rPr>
            <w:rStyle w:val="Hyperlink"/>
            <w:rtl/>
          </w:rPr>
        </w:r>
        <w:r w:rsidR="00155D8F">
          <w:rPr>
            <w:rStyle w:val="Hyperlink"/>
            <w:rtl/>
          </w:rPr>
          <w:fldChar w:fldCharType="separate"/>
        </w:r>
        <w:r w:rsidR="00155D8F">
          <w:rPr>
            <w:webHidden/>
            <w:rtl/>
          </w:rPr>
          <w:t>2</w:t>
        </w:r>
        <w:r w:rsidR="00155D8F">
          <w:rPr>
            <w:rStyle w:val="Hyperlink"/>
            <w:rtl/>
          </w:rPr>
          <w:fldChar w:fldCharType="end"/>
        </w:r>
      </w:hyperlink>
    </w:p>
    <w:p w14:paraId="3B707FD8" w14:textId="77777777" w:rsidR="00155D8F" w:rsidRDefault="00224552" w:rsidP="00155D8F">
      <w:pPr>
        <w:pStyle w:val="TOC4"/>
        <w:rPr>
          <w:rFonts w:cstheme="minorBidi"/>
          <w:rtl/>
        </w:rPr>
      </w:pPr>
      <w:hyperlink w:anchor="_Toc53333085" w:history="1">
        <w:r w:rsidR="00155D8F" w:rsidRPr="00DA2582">
          <w:rPr>
            <w:rStyle w:val="Hyperlink"/>
            <w:rtl/>
          </w:rPr>
          <w:t>ב. מטרת התקנות המוצעות והצורך בהן</w:t>
        </w:r>
        <w:r w:rsidR="00155D8F">
          <w:rPr>
            <w:webHidden/>
            <w:rtl/>
          </w:rPr>
          <w:tab/>
        </w:r>
        <w:r w:rsidR="00155D8F">
          <w:rPr>
            <w:rStyle w:val="Hyperlink"/>
            <w:rtl/>
          </w:rPr>
          <w:fldChar w:fldCharType="begin"/>
        </w:r>
        <w:r w:rsidR="00155D8F">
          <w:rPr>
            <w:webHidden/>
            <w:rtl/>
          </w:rPr>
          <w:instrText xml:space="preserve"> </w:instrText>
        </w:r>
        <w:r w:rsidR="00155D8F">
          <w:rPr>
            <w:webHidden/>
          </w:rPr>
          <w:instrText>PAGEREF</w:instrText>
        </w:r>
        <w:r w:rsidR="00155D8F">
          <w:rPr>
            <w:webHidden/>
            <w:rtl/>
          </w:rPr>
          <w:instrText xml:space="preserve"> _</w:instrText>
        </w:r>
        <w:r w:rsidR="00155D8F">
          <w:rPr>
            <w:webHidden/>
          </w:rPr>
          <w:instrText>Toc53333085 \h</w:instrText>
        </w:r>
        <w:r w:rsidR="00155D8F">
          <w:rPr>
            <w:webHidden/>
            <w:rtl/>
          </w:rPr>
          <w:instrText xml:space="preserve"> </w:instrText>
        </w:r>
        <w:r w:rsidR="00155D8F">
          <w:rPr>
            <w:rStyle w:val="Hyperlink"/>
            <w:rtl/>
          </w:rPr>
        </w:r>
        <w:r w:rsidR="00155D8F">
          <w:rPr>
            <w:rStyle w:val="Hyperlink"/>
            <w:rtl/>
          </w:rPr>
          <w:fldChar w:fldCharType="separate"/>
        </w:r>
        <w:r w:rsidR="00155D8F">
          <w:rPr>
            <w:webHidden/>
            <w:rtl/>
          </w:rPr>
          <w:t>2</w:t>
        </w:r>
        <w:r w:rsidR="00155D8F">
          <w:rPr>
            <w:rStyle w:val="Hyperlink"/>
            <w:rtl/>
          </w:rPr>
          <w:fldChar w:fldCharType="end"/>
        </w:r>
      </w:hyperlink>
    </w:p>
    <w:p w14:paraId="65E54E6B" w14:textId="77777777" w:rsidR="00155D8F" w:rsidRDefault="00224552" w:rsidP="00155D8F">
      <w:pPr>
        <w:pStyle w:val="TOC4"/>
        <w:rPr>
          <w:rFonts w:cstheme="minorBidi"/>
          <w:rtl/>
        </w:rPr>
      </w:pPr>
      <w:hyperlink w:anchor="_Toc53333086" w:history="1">
        <w:r w:rsidR="00155D8F" w:rsidRPr="00DA2582">
          <w:rPr>
            <w:rStyle w:val="Hyperlink"/>
            <w:rtl/>
          </w:rPr>
          <w:t>ג. להלן נוסח טיוטת התקנות המוצעות:</w:t>
        </w:r>
        <w:r w:rsidR="00155D8F">
          <w:rPr>
            <w:webHidden/>
            <w:rtl/>
          </w:rPr>
          <w:tab/>
        </w:r>
        <w:r w:rsidR="00155D8F">
          <w:rPr>
            <w:rStyle w:val="Hyperlink"/>
            <w:rtl/>
          </w:rPr>
          <w:fldChar w:fldCharType="begin"/>
        </w:r>
        <w:r w:rsidR="00155D8F">
          <w:rPr>
            <w:webHidden/>
            <w:rtl/>
          </w:rPr>
          <w:instrText xml:space="preserve"> </w:instrText>
        </w:r>
        <w:r w:rsidR="00155D8F">
          <w:rPr>
            <w:webHidden/>
          </w:rPr>
          <w:instrText>PAGEREF</w:instrText>
        </w:r>
        <w:r w:rsidR="00155D8F">
          <w:rPr>
            <w:webHidden/>
            <w:rtl/>
          </w:rPr>
          <w:instrText xml:space="preserve"> _</w:instrText>
        </w:r>
        <w:r w:rsidR="00155D8F">
          <w:rPr>
            <w:webHidden/>
          </w:rPr>
          <w:instrText>Toc53333086 \h</w:instrText>
        </w:r>
        <w:r w:rsidR="00155D8F">
          <w:rPr>
            <w:webHidden/>
            <w:rtl/>
          </w:rPr>
          <w:instrText xml:space="preserve"> </w:instrText>
        </w:r>
        <w:r w:rsidR="00155D8F">
          <w:rPr>
            <w:rStyle w:val="Hyperlink"/>
            <w:rtl/>
          </w:rPr>
        </w:r>
        <w:r w:rsidR="00155D8F">
          <w:rPr>
            <w:rStyle w:val="Hyperlink"/>
            <w:rtl/>
          </w:rPr>
          <w:fldChar w:fldCharType="separate"/>
        </w:r>
        <w:r w:rsidR="00155D8F">
          <w:rPr>
            <w:webHidden/>
            <w:rtl/>
          </w:rPr>
          <w:t>2</w:t>
        </w:r>
        <w:r w:rsidR="00155D8F">
          <w:rPr>
            <w:rStyle w:val="Hyperlink"/>
            <w:rtl/>
          </w:rPr>
          <w:fldChar w:fldCharType="end"/>
        </w:r>
      </w:hyperlink>
    </w:p>
    <w:p w14:paraId="28FE4D9E" w14:textId="77777777" w:rsidR="00155D8F" w:rsidRDefault="00224552" w:rsidP="00155D8F">
      <w:pPr>
        <w:pStyle w:val="TOC1"/>
        <w:rPr>
          <w:rFonts w:asciiTheme="minorHAnsi" w:eastAsiaTheme="minorEastAsia" w:hAnsiTheme="minorHAnsi" w:cstheme="minorBidi"/>
          <w:bCs w:val="0"/>
          <w:noProof/>
          <w:sz w:val="22"/>
          <w:rtl/>
        </w:rPr>
      </w:pPr>
      <w:hyperlink w:anchor="_Toc53333087" w:history="1">
        <w:r w:rsidR="00155D8F" w:rsidRPr="00DA2582">
          <w:rPr>
            <w:rStyle w:val="Hyperlink"/>
            <w:noProof/>
            <w:rtl/>
          </w:rPr>
          <w:t>טיוטת תקנות מס הכנסה (קביעת תנאי שוק)(תיקון), התשפ"א-2020</w:t>
        </w:r>
        <w:r w:rsidR="00155D8F">
          <w:rPr>
            <w:noProof/>
            <w:webHidden/>
            <w:rtl/>
          </w:rPr>
          <w:tab/>
        </w:r>
        <w:r w:rsidR="00155D8F">
          <w:rPr>
            <w:rStyle w:val="Hyperlink"/>
            <w:noProof/>
            <w:rtl/>
          </w:rPr>
          <w:fldChar w:fldCharType="begin"/>
        </w:r>
        <w:r w:rsidR="00155D8F">
          <w:rPr>
            <w:noProof/>
            <w:webHidden/>
            <w:rtl/>
          </w:rPr>
          <w:instrText xml:space="preserve"> </w:instrText>
        </w:r>
        <w:r w:rsidR="00155D8F">
          <w:rPr>
            <w:noProof/>
            <w:webHidden/>
          </w:rPr>
          <w:instrText>PAGEREF</w:instrText>
        </w:r>
        <w:r w:rsidR="00155D8F">
          <w:rPr>
            <w:noProof/>
            <w:webHidden/>
            <w:rtl/>
          </w:rPr>
          <w:instrText xml:space="preserve"> _</w:instrText>
        </w:r>
        <w:r w:rsidR="00155D8F">
          <w:rPr>
            <w:noProof/>
            <w:webHidden/>
          </w:rPr>
          <w:instrText>Toc53333087 \h</w:instrText>
        </w:r>
        <w:r w:rsidR="00155D8F">
          <w:rPr>
            <w:noProof/>
            <w:webHidden/>
            <w:rtl/>
          </w:rPr>
          <w:instrText xml:space="preserve"> </w:instrText>
        </w:r>
        <w:r w:rsidR="00155D8F">
          <w:rPr>
            <w:rStyle w:val="Hyperlink"/>
            <w:noProof/>
            <w:rtl/>
          </w:rPr>
        </w:r>
        <w:r w:rsidR="00155D8F">
          <w:rPr>
            <w:rStyle w:val="Hyperlink"/>
            <w:noProof/>
            <w:rtl/>
          </w:rPr>
          <w:fldChar w:fldCharType="separate"/>
        </w:r>
        <w:r w:rsidR="00155D8F">
          <w:rPr>
            <w:noProof/>
            <w:webHidden/>
            <w:rtl/>
          </w:rPr>
          <w:t>3</w:t>
        </w:r>
        <w:r w:rsidR="00155D8F">
          <w:rPr>
            <w:rStyle w:val="Hyperlink"/>
            <w:noProof/>
            <w:rtl/>
          </w:rPr>
          <w:fldChar w:fldCharType="end"/>
        </w:r>
      </w:hyperlink>
    </w:p>
    <w:p w14:paraId="3EF46BB5" w14:textId="77777777" w:rsidR="00155D8F" w:rsidRDefault="00224552" w:rsidP="00155D8F">
      <w:pPr>
        <w:pStyle w:val="TOC3"/>
        <w:rPr>
          <w:rFonts w:asciiTheme="minorHAnsi" w:eastAsiaTheme="minorEastAsia" w:hAnsiTheme="minorHAnsi" w:cstheme="minorBidi"/>
          <w:noProof/>
          <w:sz w:val="22"/>
          <w:rtl/>
        </w:rPr>
      </w:pPr>
      <w:hyperlink w:anchor="_Toc53333088" w:history="1">
        <w:r w:rsidR="00155D8F" w:rsidRPr="00DA2582">
          <w:rPr>
            <w:rStyle w:val="Hyperlink"/>
            <w:noProof/>
            <w:rtl/>
          </w:rPr>
          <w:t>תיקון תקנה 1</w:t>
        </w:r>
        <w:r w:rsidR="00155D8F">
          <w:rPr>
            <w:noProof/>
            <w:webHidden/>
            <w:rtl/>
          </w:rPr>
          <w:tab/>
        </w:r>
        <w:r w:rsidR="00155D8F">
          <w:rPr>
            <w:rStyle w:val="Hyperlink"/>
            <w:noProof/>
            <w:rtl/>
          </w:rPr>
          <w:fldChar w:fldCharType="begin"/>
        </w:r>
        <w:r w:rsidR="00155D8F">
          <w:rPr>
            <w:noProof/>
            <w:webHidden/>
            <w:rtl/>
          </w:rPr>
          <w:instrText xml:space="preserve"> </w:instrText>
        </w:r>
        <w:r w:rsidR="00155D8F">
          <w:rPr>
            <w:noProof/>
            <w:webHidden/>
          </w:rPr>
          <w:instrText>PAGEREF</w:instrText>
        </w:r>
        <w:r w:rsidR="00155D8F">
          <w:rPr>
            <w:noProof/>
            <w:webHidden/>
            <w:rtl/>
          </w:rPr>
          <w:instrText xml:space="preserve"> _</w:instrText>
        </w:r>
        <w:r w:rsidR="00155D8F">
          <w:rPr>
            <w:noProof/>
            <w:webHidden/>
          </w:rPr>
          <w:instrText>Toc53333088 \h</w:instrText>
        </w:r>
        <w:r w:rsidR="00155D8F">
          <w:rPr>
            <w:noProof/>
            <w:webHidden/>
            <w:rtl/>
          </w:rPr>
          <w:instrText xml:space="preserve"> </w:instrText>
        </w:r>
        <w:r w:rsidR="00155D8F">
          <w:rPr>
            <w:rStyle w:val="Hyperlink"/>
            <w:noProof/>
            <w:rtl/>
          </w:rPr>
        </w:r>
        <w:r w:rsidR="00155D8F">
          <w:rPr>
            <w:rStyle w:val="Hyperlink"/>
            <w:noProof/>
            <w:rtl/>
          </w:rPr>
          <w:fldChar w:fldCharType="separate"/>
        </w:r>
        <w:r w:rsidR="00155D8F">
          <w:rPr>
            <w:noProof/>
            <w:webHidden/>
            <w:rtl/>
          </w:rPr>
          <w:t>3</w:t>
        </w:r>
        <w:r w:rsidR="00155D8F">
          <w:rPr>
            <w:rStyle w:val="Hyperlink"/>
            <w:noProof/>
            <w:rtl/>
          </w:rPr>
          <w:fldChar w:fldCharType="end"/>
        </w:r>
      </w:hyperlink>
    </w:p>
    <w:p w14:paraId="41D4D944" w14:textId="77777777" w:rsidR="00155D8F" w:rsidRDefault="00224552" w:rsidP="00155D8F">
      <w:pPr>
        <w:pStyle w:val="TOC3"/>
        <w:rPr>
          <w:rFonts w:asciiTheme="minorHAnsi" w:eastAsiaTheme="minorEastAsia" w:hAnsiTheme="minorHAnsi" w:cstheme="minorBidi"/>
          <w:noProof/>
          <w:sz w:val="22"/>
          <w:rtl/>
        </w:rPr>
      </w:pPr>
      <w:hyperlink w:anchor="_Toc53333089" w:history="1">
        <w:r w:rsidR="00155D8F" w:rsidRPr="00DA2582">
          <w:rPr>
            <w:rStyle w:val="Hyperlink"/>
            <w:noProof/>
            <w:rtl/>
          </w:rPr>
          <w:t>תיקון תקנה 5</w:t>
        </w:r>
        <w:r w:rsidR="00155D8F">
          <w:rPr>
            <w:noProof/>
            <w:webHidden/>
            <w:rtl/>
          </w:rPr>
          <w:tab/>
        </w:r>
        <w:r w:rsidR="00155D8F">
          <w:rPr>
            <w:rStyle w:val="Hyperlink"/>
            <w:noProof/>
            <w:rtl/>
          </w:rPr>
          <w:fldChar w:fldCharType="begin"/>
        </w:r>
        <w:r w:rsidR="00155D8F">
          <w:rPr>
            <w:noProof/>
            <w:webHidden/>
            <w:rtl/>
          </w:rPr>
          <w:instrText xml:space="preserve"> </w:instrText>
        </w:r>
        <w:r w:rsidR="00155D8F">
          <w:rPr>
            <w:noProof/>
            <w:webHidden/>
          </w:rPr>
          <w:instrText>PAGEREF</w:instrText>
        </w:r>
        <w:r w:rsidR="00155D8F">
          <w:rPr>
            <w:noProof/>
            <w:webHidden/>
            <w:rtl/>
          </w:rPr>
          <w:instrText xml:space="preserve"> _</w:instrText>
        </w:r>
        <w:r w:rsidR="00155D8F">
          <w:rPr>
            <w:noProof/>
            <w:webHidden/>
          </w:rPr>
          <w:instrText>Toc53333089 \h</w:instrText>
        </w:r>
        <w:r w:rsidR="00155D8F">
          <w:rPr>
            <w:noProof/>
            <w:webHidden/>
            <w:rtl/>
          </w:rPr>
          <w:instrText xml:space="preserve"> </w:instrText>
        </w:r>
        <w:r w:rsidR="00155D8F">
          <w:rPr>
            <w:rStyle w:val="Hyperlink"/>
            <w:noProof/>
            <w:rtl/>
          </w:rPr>
        </w:r>
        <w:r w:rsidR="00155D8F">
          <w:rPr>
            <w:rStyle w:val="Hyperlink"/>
            <w:noProof/>
            <w:rtl/>
          </w:rPr>
          <w:fldChar w:fldCharType="separate"/>
        </w:r>
        <w:r w:rsidR="00155D8F">
          <w:rPr>
            <w:noProof/>
            <w:webHidden/>
            <w:rtl/>
          </w:rPr>
          <w:t>3</w:t>
        </w:r>
        <w:r w:rsidR="00155D8F">
          <w:rPr>
            <w:rStyle w:val="Hyperlink"/>
            <w:noProof/>
            <w:rtl/>
          </w:rPr>
          <w:fldChar w:fldCharType="end"/>
        </w:r>
      </w:hyperlink>
    </w:p>
    <w:p w14:paraId="1D9FEFBB" w14:textId="77777777" w:rsidR="00155D8F" w:rsidRDefault="00224552" w:rsidP="00155D8F">
      <w:pPr>
        <w:pStyle w:val="TOC3"/>
        <w:rPr>
          <w:rFonts w:asciiTheme="minorHAnsi" w:eastAsiaTheme="minorEastAsia" w:hAnsiTheme="minorHAnsi" w:cstheme="minorBidi"/>
          <w:noProof/>
          <w:sz w:val="22"/>
          <w:rtl/>
        </w:rPr>
      </w:pPr>
      <w:hyperlink w:anchor="_Toc53333090" w:history="1">
        <w:r w:rsidR="00155D8F" w:rsidRPr="00DA2582">
          <w:rPr>
            <w:rStyle w:val="Hyperlink"/>
            <w:noProof/>
            <w:rtl/>
          </w:rPr>
          <w:t>הוספת תקנה 5א</w:t>
        </w:r>
        <w:r w:rsidR="00155D8F">
          <w:rPr>
            <w:noProof/>
            <w:webHidden/>
            <w:rtl/>
          </w:rPr>
          <w:tab/>
        </w:r>
        <w:r w:rsidR="00155D8F">
          <w:rPr>
            <w:rStyle w:val="Hyperlink"/>
            <w:noProof/>
            <w:rtl/>
          </w:rPr>
          <w:fldChar w:fldCharType="begin"/>
        </w:r>
        <w:r w:rsidR="00155D8F">
          <w:rPr>
            <w:noProof/>
            <w:webHidden/>
            <w:rtl/>
          </w:rPr>
          <w:instrText xml:space="preserve"> </w:instrText>
        </w:r>
        <w:r w:rsidR="00155D8F">
          <w:rPr>
            <w:noProof/>
            <w:webHidden/>
          </w:rPr>
          <w:instrText>PAGEREF</w:instrText>
        </w:r>
        <w:r w:rsidR="00155D8F">
          <w:rPr>
            <w:noProof/>
            <w:webHidden/>
            <w:rtl/>
          </w:rPr>
          <w:instrText xml:space="preserve"> _</w:instrText>
        </w:r>
        <w:r w:rsidR="00155D8F">
          <w:rPr>
            <w:noProof/>
            <w:webHidden/>
          </w:rPr>
          <w:instrText>Toc53333090 \h</w:instrText>
        </w:r>
        <w:r w:rsidR="00155D8F">
          <w:rPr>
            <w:noProof/>
            <w:webHidden/>
            <w:rtl/>
          </w:rPr>
          <w:instrText xml:space="preserve"> </w:instrText>
        </w:r>
        <w:r w:rsidR="00155D8F">
          <w:rPr>
            <w:rStyle w:val="Hyperlink"/>
            <w:noProof/>
            <w:rtl/>
          </w:rPr>
        </w:r>
        <w:r w:rsidR="00155D8F">
          <w:rPr>
            <w:rStyle w:val="Hyperlink"/>
            <w:noProof/>
            <w:rtl/>
          </w:rPr>
          <w:fldChar w:fldCharType="separate"/>
        </w:r>
        <w:r w:rsidR="00155D8F">
          <w:rPr>
            <w:noProof/>
            <w:webHidden/>
            <w:rtl/>
          </w:rPr>
          <w:t>8</w:t>
        </w:r>
        <w:r w:rsidR="00155D8F">
          <w:rPr>
            <w:rStyle w:val="Hyperlink"/>
            <w:noProof/>
            <w:rtl/>
          </w:rPr>
          <w:fldChar w:fldCharType="end"/>
        </w:r>
      </w:hyperlink>
    </w:p>
    <w:p w14:paraId="1BBC8D3C" w14:textId="77777777" w:rsidR="00155D8F" w:rsidRDefault="00224552" w:rsidP="00155D8F">
      <w:pPr>
        <w:pStyle w:val="TOC3"/>
        <w:rPr>
          <w:rFonts w:asciiTheme="minorHAnsi" w:eastAsiaTheme="minorEastAsia" w:hAnsiTheme="minorHAnsi" w:cstheme="minorBidi"/>
          <w:noProof/>
          <w:sz w:val="22"/>
          <w:rtl/>
        </w:rPr>
      </w:pPr>
      <w:hyperlink w:anchor="_Toc53333091" w:history="1">
        <w:r w:rsidR="00155D8F" w:rsidRPr="00DA2582">
          <w:rPr>
            <w:rStyle w:val="Hyperlink"/>
            <w:noProof/>
            <w:rtl/>
          </w:rPr>
          <w:t>הוספת התוספת</w:t>
        </w:r>
        <w:r w:rsidR="00155D8F">
          <w:rPr>
            <w:noProof/>
            <w:webHidden/>
            <w:rtl/>
          </w:rPr>
          <w:tab/>
        </w:r>
        <w:r w:rsidR="00155D8F">
          <w:rPr>
            <w:rStyle w:val="Hyperlink"/>
            <w:noProof/>
            <w:rtl/>
          </w:rPr>
          <w:fldChar w:fldCharType="begin"/>
        </w:r>
        <w:r w:rsidR="00155D8F">
          <w:rPr>
            <w:noProof/>
            <w:webHidden/>
            <w:rtl/>
          </w:rPr>
          <w:instrText xml:space="preserve"> </w:instrText>
        </w:r>
        <w:r w:rsidR="00155D8F">
          <w:rPr>
            <w:noProof/>
            <w:webHidden/>
          </w:rPr>
          <w:instrText>PAGEREF</w:instrText>
        </w:r>
        <w:r w:rsidR="00155D8F">
          <w:rPr>
            <w:noProof/>
            <w:webHidden/>
            <w:rtl/>
          </w:rPr>
          <w:instrText xml:space="preserve"> _</w:instrText>
        </w:r>
        <w:r w:rsidR="00155D8F">
          <w:rPr>
            <w:noProof/>
            <w:webHidden/>
          </w:rPr>
          <w:instrText>Toc53333091 \h</w:instrText>
        </w:r>
        <w:r w:rsidR="00155D8F">
          <w:rPr>
            <w:noProof/>
            <w:webHidden/>
            <w:rtl/>
          </w:rPr>
          <w:instrText xml:space="preserve"> </w:instrText>
        </w:r>
        <w:r w:rsidR="00155D8F">
          <w:rPr>
            <w:rStyle w:val="Hyperlink"/>
            <w:noProof/>
            <w:rtl/>
          </w:rPr>
        </w:r>
        <w:r w:rsidR="00155D8F">
          <w:rPr>
            <w:rStyle w:val="Hyperlink"/>
            <w:noProof/>
            <w:rtl/>
          </w:rPr>
          <w:fldChar w:fldCharType="separate"/>
        </w:r>
        <w:r w:rsidR="00155D8F">
          <w:rPr>
            <w:noProof/>
            <w:webHidden/>
            <w:rtl/>
          </w:rPr>
          <w:t>9</w:t>
        </w:r>
        <w:r w:rsidR="00155D8F">
          <w:rPr>
            <w:rStyle w:val="Hyperlink"/>
            <w:noProof/>
            <w:rtl/>
          </w:rPr>
          <w:fldChar w:fldCharType="end"/>
        </w:r>
      </w:hyperlink>
    </w:p>
    <w:p w14:paraId="2B830865" w14:textId="77777777" w:rsidR="00155D8F" w:rsidRDefault="00224552" w:rsidP="00155D8F">
      <w:pPr>
        <w:pStyle w:val="TOC2"/>
        <w:rPr>
          <w:rFonts w:asciiTheme="minorHAnsi" w:eastAsiaTheme="minorEastAsia" w:hAnsiTheme="minorHAnsi" w:cstheme="minorBidi"/>
          <w:noProof/>
          <w:sz w:val="22"/>
          <w:rtl/>
        </w:rPr>
      </w:pPr>
      <w:hyperlink w:anchor="_Toc53333092" w:history="1">
        <w:r w:rsidR="00155D8F" w:rsidRPr="00DA2582">
          <w:rPr>
            <w:rStyle w:val="Hyperlink"/>
            <w:noProof/>
            <w:rtl/>
          </w:rPr>
          <w:t>"תוספת ראשונה</w:t>
        </w:r>
        <w:r w:rsidR="00155D8F">
          <w:rPr>
            <w:noProof/>
            <w:webHidden/>
            <w:rtl/>
          </w:rPr>
          <w:tab/>
        </w:r>
        <w:r w:rsidR="00155D8F">
          <w:rPr>
            <w:rStyle w:val="Hyperlink"/>
            <w:noProof/>
            <w:rtl/>
          </w:rPr>
          <w:fldChar w:fldCharType="begin"/>
        </w:r>
        <w:r w:rsidR="00155D8F">
          <w:rPr>
            <w:noProof/>
            <w:webHidden/>
            <w:rtl/>
          </w:rPr>
          <w:instrText xml:space="preserve"> </w:instrText>
        </w:r>
        <w:r w:rsidR="00155D8F">
          <w:rPr>
            <w:noProof/>
            <w:webHidden/>
          </w:rPr>
          <w:instrText>PAGEREF</w:instrText>
        </w:r>
        <w:r w:rsidR="00155D8F">
          <w:rPr>
            <w:noProof/>
            <w:webHidden/>
            <w:rtl/>
          </w:rPr>
          <w:instrText xml:space="preserve"> _</w:instrText>
        </w:r>
        <w:r w:rsidR="00155D8F">
          <w:rPr>
            <w:noProof/>
            <w:webHidden/>
          </w:rPr>
          <w:instrText>Toc53333092 \h</w:instrText>
        </w:r>
        <w:r w:rsidR="00155D8F">
          <w:rPr>
            <w:noProof/>
            <w:webHidden/>
            <w:rtl/>
          </w:rPr>
          <w:instrText xml:space="preserve"> </w:instrText>
        </w:r>
        <w:r w:rsidR="00155D8F">
          <w:rPr>
            <w:rStyle w:val="Hyperlink"/>
            <w:noProof/>
            <w:rtl/>
          </w:rPr>
        </w:r>
        <w:r w:rsidR="00155D8F">
          <w:rPr>
            <w:rStyle w:val="Hyperlink"/>
            <w:noProof/>
            <w:rtl/>
          </w:rPr>
          <w:fldChar w:fldCharType="separate"/>
        </w:r>
        <w:r w:rsidR="00155D8F">
          <w:rPr>
            <w:noProof/>
            <w:webHidden/>
            <w:rtl/>
          </w:rPr>
          <w:t>9</w:t>
        </w:r>
        <w:r w:rsidR="00155D8F">
          <w:rPr>
            <w:rStyle w:val="Hyperlink"/>
            <w:noProof/>
            <w:rtl/>
          </w:rPr>
          <w:fldChar w:fldCharType="end"/>
        </w:r>
      </w:hyperlink>
    </w:p>
    <w:p w14:paraId="5CE5DD1C" w14:textId="77777777" w:rsidR="00155D8F" w:rsidRDefault="00224552" w:rsidP="00155D8F">
      <w:pPr>
        <w:pStyle w:val="TOC3"/>
        <w:rPr>
          <w:rFonts w:asciiTheme="minorHAnsi" w:eastAsiaTheme="minorEastAsia" w:hAnsiTheme="minorHAnsi" w:cstheme="minorBidi"/>
          <w:noProof/>
          <w:sz w:val="22"/>
          <w:rtl/>
        </w:rPr>
      </w:pPr>
      <w:hyperlink w:anchor="_Toc53333093" w:history="1">
        <w:r w:rsidR="00155D8F" w:rsidRPr="00DA2582">
          <w:rPr>
            <w:rStyle w:val="Hyperlink"/>
            <w:noProof/>
            <w:rtl/>
          </w:rPr>
          <w:t>(תקנה 5א)</w:t>
        </w:r>
        <w:r w:rsidR="00155D8F">
          <w:rPr>
            <w:noProof/>
            <w:webHidden/>
            <w:rtl/>
          </w:rPr>
          <w:tab/>
        </w:r>
        <w:r w:rsidR="00155D8F">
          <w:rPr>
            <w:rStyle w:val="Hyperlink"/>
            <w:noProof/>
            <w:rtl/>
          </w:rPr>
          <w:fldChar w:fldCharType="begin"/>
        </w:r>
        <w:r w:rsidR="00155D8F">
          <w:rPr>
            <w:noProof/>
            <w:webHidden/>
            <w:rtl/>
          </w:rPr>
          <w:instrText xml:space="preserve"> </w:instrText>
        </w:r>
        <w:r w:rsidR="00155D8F">
          <w:rPr>
            <w:noProof/>
            <w:webHidden/>
          </w:rPr>
          <w:instrText>PAGEREF</w:instrText>
        </w:r>
        <w:r w:rsidR="00155D8F">
          <w:rPr>
            <w:noProof/>
            <w:webHidden/>
            <w:rtl/>
          </w:rPr>
          <w:instrText xml:space="preserve"> _</w:instrText>
        </w:r>
        <w:r w:rsidR="00155D8F">
          <w:rPr>
            <w:noProof/>
            <w:webHidden/>
          </w:rPr>
          <w:instrText>Toc53333093 \h</w:instrText>
        </w:r>
        <w:r w:rsidR="00155D8F">
          <w:rPr>
            <w:noProof/>
            <w:webHidden/>
            <w:rtl/>
          </w:rPr>
          <w:instrText xml:space="preserve"> </w:instrText>
        </w:r>
        <w:r w:rsidR="00155D8F">
          <w:rPr>
            <w:rStyle w:val="Hyperlink"/>
            <w:noProof/>
            <w:rtl/>
          </w:rPr>
        </w:r>
        <w:r w:rsidR="00155D8F">
          <w:rPr>
            <w:rStyle w:val="Hyperlink"/>
            <w:noProof/>
            <w:rtl/>
          </w:rPr>
          <w:fldChar w:fldCharType="separate"/>
        </w:r>
        <w:r w:rsidR="00155D8F">
          <w:rPr>
            <w:noProof/>
            <w:webHidden/>
            <w:rtl/>
          </w:rPr>
          <w:t>9</w:t>
        </w:r>
        <w:r w:rsidR="00155D8F">
          <w:rPr>
            <w:rStyle w:val="Hyperlink"/>
            <w:noProof/>
            <w:rtl/>
          </w:rPr>
          <w:fldChar w:fldCharType="end"/>
        </w:r>
      </w:hyperlink>
    </w:p>
    <w:p w14:paraId="044A707C" w14:textId="77777777" w:rsidR="00155D8F" w:rsidRDefault="00224552" w:rsidP="00155D8F">
      <w:pPr>
        <w:pStyle w:val="TOC2"/>
        <w:rPr>
          <w:rFonts w:asciiTheme="minorHAnsi" w:eastAsiaTheme="minorEastAsia" w:hAnsiTheme="minorHAnsi" w:cstheme="minorBidi"/>
          <w:noProof/>
          <w:sz w:val="22"/>
          <w:rtl/>
        </w:rPr>
      </w:pPr>
      <w:hyperlink w:anchor="_Toc53333095" w:history="1">
        <w:r w:rsidR="00155D8F" w:rsidRPr="00DA2582">
          <w:rPr>
            <w:rStyle w:val="Hyperlink"/>
            <w:noProof/>
            <w:rtl/>
          </w:rPr>
          <w:t>דברי הסבר</w:t>
        </w:r>
        <w:r w:rsidR="00155D8F">
          <w:rPr>
            <w:noProof/>
            <w:webHidden/>
            <w:rtl/>
          </w:rPr>
          <w:tab/>
        </w:r>
        <w:r w:rsidR="00155D8F">
          <w:rPr>
            <w:rStyle w:val="Hyperlink"/>
            <w:noProof/>
            <w:rtl/>
          </w:rPr>
          <w:fldChar w:fldCharType="begin"/>
        </w:r>
        <w:r w:rsidR="00155D8F">
          <w:rPr>
            <w:noProof/>
            <w:webHidden/>
            <w:rtl/>
          </w:rPr>
          <w:instrText xml:space="preserve"> </w:instrText>
        </w:r>
        <w:r w:rsidR="00155D8F">
          <w:rPr>
            <w:noProof/>
            <w:webHidden/>
          </w:rPr>
          <w:instrText>PAGEREF</w:instrText>
        </w:r>
        <w:r w:rsidR="00155D8F">
          <w:rPr>
            <w:noProof/>
            <w:webHidden/>
            <w:rtl/>
          </w:rPr>
          <w:instrText xml:space="preserve"> _</w:instrText>
        </w:r>
        <w:r w:rsidR="00155D8F">
          <w:rPr>
            <w:noProof/>
            <w:webHidden/>
          </w:rPr>
          <w:instrText>Toc53333095 \h</w:instrText>
        </w:r>
        <w:r w:rsidR="00155D8F">
          <w:rPr>
            <w:noProof/>
            <w:webHidden/>
            <w:rtl/>
          </w:rPr>
          <w:instrText xml:space="preserve"> </w:instrText>
        </w:r>
        <w:r w:rsidR="00155D8F">
          <w:rPr>
            <w:rStyle w:val="Hyperlink"/>
            <w:noProof/>
            <w:rtl/>
          </w:rPr>
        </w:r>
        <w:r w:rsidR="00155D8F">
          <w:rPr>
            <w:rStyle w:val="Hyperlink"/>
            <w:noProof/>
            <w:rtl/>
          </w:rPr>
          <w:fldChar w:fldCharType="separate"/>
        </w:r>
        <w:r w:rsidR="00155D8F">
          <w:rPr>
            <w:noProof/>
            <w:webHidden/>
            <w:rtl/>
          </w:rPr>
          <w:t>12</w:t>
        </w:r>
        <w:r w:rsidR="00155D8F">
          <w:rPr>
            <w:rStyle w:val="Hyperlink"/>
            <w:noProof/>
            <w:rtl/>
          </w:rPr>
          <w:fldChar w:fldCharType="end"/>
        </w:r>
      </w:hyperlink>
    </w:p>
    <w:p w14:paraId="36C9EE55" w14:textId="77777777" w:rsidR="00155D8F" w:rsidRDefault="00155D8F" w:rsidP="00155D8F">
      <w:pPr>
        <w:rPr>
          <w:snapToGrid w:val="0"/>
          <w:rtl/>
        </w:rPr>
      </w:pPr>
      <w:r>
        <w:rPr>
          <w:rtl/>
        </w:rPr>
        <w:fldChar w:fldCharType="end"/>
      </w:r>
      <w:r>
        <w:rPr>
          <w:rtl/>
        </w:rPr>
        <w:br w:type="page"/>
      </w:r>
    </w:p>
    <w:p w14:paraId="7BC90FF0" w14:textId="77777777" w:rsidR="004D5814" w:rsidRDefault="004D5814" w:rsidP="003055DA">
      <w:pPr>
        <w:pStyle w:val="1"/>
        <w:keepNext w:val="0"/>
        <w:keepLines w:val="0"/>
      </w:pPr>
      <w:bookmarkStart w:id="0" w:name="_Toc53333060"/>
      <w:bookmarkStart w:id="1" w:name="_Toc53333083"/>
      <w:r>
        <w:rPr>
          <w:rtl/>
        </w:rPr>
        <w:lastRenderedPageBreak/>
        <w:t>טיוטת תקנות</w:t>
      </w:r>
      <w:bookmarkEnd w:id="0"/>
      <w:bookmarkEnd w:id="1"/>
    </w:p>
    <w:p w14:paraId="6B755AF4" w14:textId="77777777" w:rsidR="004D5814" w:rsidRDefault="004D5814" w:rsidP="003055DA">
      <w:pPr>
        <w:rPr>
          <w:rtl/>
        </w:rPr>
      </w:pPr>
    </w:p>
    <w:p w14:paraId="102F2AB8" w14:textId="77777777" w:rsidR="004D5814" w:rsidRDefault="004D5814" w:rsidP="003055DA">
      <w:pPr>
        <w:pStyle w:val="4"/>
        <w:rPr>
          <w:rtl/>
        </w:rPr>
      </w:pPr>
      <w:bookmarkStart w:id="2" w:name="_Toc53333084"/>
      <w:r>
        <w:rPr>
          <w:rFonts w:hint="cs"/>
          <w:rtl/>
        </w:rPr>
        <w:t>שם התקנות המוצעות</w:t>
      </w:r>
      <w:bookmarkEnd w:id="2"/>
    </w:p>
    <w:p w14:paraId="7C8693DB" w14:textId="77777777" w:rsidR="004D5814" w:rsidRDefault="004D5814" w:rsidP="00865F85">
      <w:r>
        <w:rPr>
          <w:rFonts w:hint="cs"/>
          <w:rtl/>
        </w:rPr>
        <w:t xml:space="preserve">תקנות </w:t>
      </w:r>
      <w:r w:rsidRPr="004D5814">
        <w:rPr>
          <w:rtl/>
        </w:rPr>
        <w:t>מס הכנסה (קביעת תנאי שוק)(תיקון),</w:t>
      </w:r>
      <w:r w:rsidR="00865F85">
        <w:rPr>
          <w:rFonts w:hint="cs"/>
          <w:rtl/>
        </w:rPr>
        <w:t xml:space="preserve"> התש</w:t>
      </w:r>
      <w:r w:rsidR="00D14847">
        <w:rPr>
          <w:rFonts w:hint="cs"/>
          <w:rtl/>
        </w:rPr>
        <w:t>פ"א</w:t>
      </w:r>
      <w:r w:rsidR="00865F85">
        <w:rPr>
          <w:rFonts w:hint="cs"/>
          <w:rtl/>
        </w:rPr>
        <w:t>-2020</w:t>
      </w:r>
    </w:p>
    <w:p w14:paraId="51E32F8B" w14:textId="77777777" w:rsidR="004D5814" w:rsidRPr="00D14847" w:rsidRDefault="004D5814" w:rsidP="003055DA">
      <w:pPr>
        <w:rPr>
          <w:rtl/>
        </w:rPr>
      </w:pPr>
    </w:p>
    <w:p w14:paraId="13A3D26C" w14:textId="77777777" w:rsidR="004D5814" w:rsidRDefault="004D5814" w:rsidP="003055DA">
      <w:pPr>
        <w:rPr>
          <w:rtl/>
        </w:rPr>
      </w:pPr>
    </w:p>
    <w:p w14:paraId="0ECC346E" w14:textId="77777777" w:rsidR="004D5814" w:rsidRDefault="004D5814" w:rsidP="003055DA">
      <w:pPr>
        <w:pStyle w:val="4"/>
        <w:rPr>
          <w:rtl/>
        </w:rPr>
      </w:pPr>
      <w:bookmarkStart w:id="3" w:name="_Toc53333085"/>
      <w:r>
        <w:rPr>
          <w:rFonts w:hint="cs"/>
          <w:rtl/>
        </w:rPr>
        <w:t>מטרת התקנות המוצעות והצורך בהן</w:t>
      </w:r>
      <w:bookmarkEnd w:id="3"/>
      <w:r>
        <w:rPr>
          <w:rFonts w:hint="cs"/>
          <w:rtl/>
        </w:rPr>
        <w:t xml:space="preserve"> </w:t>
      </w:r>
    </w:p>
    <w:p w14:paraId="4B042678" w14:textId="77777777" w:rsidR="00FB26AB" w:rsidRDefault="00FB26AB" w:rsidP="00FB6B96">
      <w:pPr>
        <w:pStyle w:val="Hesber1st"/>
        <w:rPr>
          <w:rFonts w:ascii="David" w:eastAsiaTheme="minorHAnsi" w:hAnsi="David"/>
          <w:snapToGrid/>
          <w:sz w:val="24"/>
          <w:szCs w:val="24"/>
          <w:rtl/>
        </w:rPr>
      </w:pPr>
      <w:r>
        <w:rPr>
          <w:rFonts w:ascii="David" w:eastAsiaTheme="minorHAnsi" w:hAnsi="David" w:hint="cs"/>
          <w:snapToGrid/>
          <w:sz w:val="24"/>
          <w:szCs w:val="24"/>
          <w:rtl/>
        </w:rPr>
        <w:t>בהמשך</w:t>
      </w:r>
      <w:r w:rsidR="00FA2993">
        <w:rPr>
          <w:rFonts w:ascii="David" w:eastAsiaTheme="minorHAnsi" w:hAnsi="David" w:hint="cs"/>
          <w:snapToGrid/>
          <w:sz w:val="24"/>
          <w:szCs w:val="24"/>
          <w:rtl/>
        </w:rPr>
        <w:t xml:space="preserve"> לתזכיר החוק לתיקון פקודת הכנסה</w:t>
      </w:r>
      <w:r>
        <w:rPr>
          <w:rFonts w:ascii="David" w:eastAsiaTheme="minorHAnsi" w:hAnsi="David" w:hint="cs"/>
          <w:snapToGrid/>
          <w:sz w:val="24"/>
          <w:szCs w:val="24"/>
          <w:rtl/>
        </w:rPr>
        <w:t xml:space="preserve"> ה</w:t>
      </w:r>
      <w:r w:rsidR="00FA2993">
        <w:rPr>
          <w:rFonts w:ascii="David" w:eastAsiaTheme="minorHAnsi" w:hAnsi="David" w:hint="cs"/>
          <w:snapToGrid/>
          <w:sz w:val="24"/>
          <w:szCs w:val="24"/>
          <w:rtl/>
        </w:rPr>
        <w:t xml:space="preserve">מופץ להערות הציבור, מוצע לתקן את תקנות </w:t>
      </w:r>
      <w:r w:rsidR="00FA2993" w:rsidRPr="00433F30">
        <w:rPr>
          <w:rFonts w:ascii="David" w:eastAsiaTheme="minorHAnsi" w:hAnsi="David"/>
          <w:snapToGrid/>
          <w:sz w:val="24"/>
          <w:szCs w:val="24"/>
          <w:rtl/>
        </w:rPr>
        <w:t>מס הכנסה (קביעת תנאי שוק), התשס"ז-2006</w:t>
      </w:r>
      <w:r w:rsidR="00FA2993">
        <w:rPr>
          <w:rFonts w:ascii="David" w:eastAsiaTheme="minorHAnsi" w:hAnsi="David" w:hint="cs"/>
          <w:snapToGrid/>
          <w:sz w:val="24"/>
          <w:szCs w:val="24"/>
          <w:rtl/>
        </w:rPr>
        <w:t>, על מנת להתאימן למוצע בתיקון פקודת מס הכנסה ולתיקונים הנדרשים בתחום מחירי העברה.</w:t>
      </w:r>
      <w:r w:rsidR="004974E5">
        <w:rPr>
          <w:rFonts w:ascii="David" w:eastAsiaTheme="minorHAnsi" w:hAnsi="David" w:hint="cs"/>
          <w:snapToGrid/>
          <w:sz w:val="24"/>
          <w:szCs w:val="24"/>
          <w:rtl/>
        </w:rPr>
        <w:t xml:space="preserve"> התיקון מופץ כעת במקביל לתזכיר והתקנת התקנות כפופה לאישור תיקון סעיפי הפקודה המסמיכים הרלוונטיים. </w:t>
      </w:r>
    </w:p>
    <w:p w14:paraId="7944A082" w14:textId="77777777" w:rsidR="004974E5" w:rsidRPr="00FA2993" w:rsidRDefault="004974E5" w:rsidP="00FB6B96">
      <w:pPr>
        <w:pStyle w:val="Hesber1st"/>
        <w:rPr>
          <w:rFonts w:ascii="David" w:eastAsiaTheme="minorHAnsi" w:hAnsi="David"/>
          <w:snapToGrid/>
          <w:sz w:val="24"/>
          <w:szCs w:val="24"/>
          <w:rtl/>
        </w:rPr>
      </w:pPr>
    </w:p>
    <w:p w14:paraId="58CE900A" w14:textId="77777777" w:rsidR="00433F30" w:rsidRPr="00433F30" w:rsidRDefault="00433F30" w:rsidP="00FB6B96">
      <w:pPr>
        <w:pStyle w:val="Hesber1st"/>
        <w:rPr>
          <w:rFonts w:ascii="David" w:eastAsiaTheme="minorHAnsi" w:hAnsi="David"/>
          <w:snapToGrid/>
          <w:sz w:val="24"/>
          <w:szCs w:val="24"/>
          <w:rtl/>
        </w:rPr>
      </w:pPr>
      <w:r w:rsidRPr="00433F30">
        <w:rPr>
          <w:rFonts w:ascii="David" w:eastAsiaTheme="minorHAnsi" w:hAnsi="David" w:hint="cs"/>
          <w:snapToGrid/>
          <w:sz w:val="24"/>
          <w:szCs w:val="24"/>
          <w:rtl/>
        </w:rPr>
        <w:t>בשנים האחרונות חלו התפתחויות משמעותיות בתחום מחירי העברה</w:t>
      </w:r>
      <w:r w:rsidRPr="00433F30">
        <w:rPr>
          <w:rFonts w:ascii="David" w:eastAsiaTheme="minorHAnsi" w:hAnsi="David"/>
          <w:snapToGrid/>
          <w:sz w:val="24"/>
          <w:szCs w:val="24"/>
          <w:rtl/>
        </w:rPr>
        <w:t xml:space="preserve"> בארץ ובעולם</w:t>
      </w:r>
      <w:r w:rsidRPr="00433F30">
        <w:rPr>
          <w:rFonts w:ascii="David" w:eastAsiaTheme="minorHAnsi" w:hAnsi="David" w:hint="cs"/>
          <w:snapToGrid/>
          <w:sz w:val="24"/>
          <w:szCs w:val="24"/>
          <w:rtl/>
        </w:rPr>
        <w:t xml:space="preserve">. התפתחויות אלו נועדות לתת מענה לאתגר הגדול איתן מתמודדות מדינות בבואן למסות תאגידים רב לאומיים על הפעילות בשטחן. </w:t>
      </w:r>
      <w:r w:rsidRPr="00433F30">
        <w:rPr>
          <w:rFonts w:ascii="David" w:eastAsiaTheme="minorHAnsi" w:hAnsi="David"/>
          <w:snapToGrid/>
          <w:sz w:val="24"/>
          <w:szCs w:val="24"/>
          <w:rtl/>
        </w:rPr>
        <w:t xml:space="preserve">בשנים האחרונות פרסם ה- </w:t>
      </w:r>
      <w:r w:rsidRPr="00433F30">
        <w:rPr>
          <w:rFonts w:ascii="David" w:eastAsiaTheme="minorHAnsi" w:hAnsi="David"/>
          <w:snapToGrid/>
          <w:sz w:val="24"/>
          <w:szCs w:val="24"/>
        </w:rPr>
        <w:t>OECD</w:t>
      </w:r>
      <w:r w:rsidRPr="00433F30">
        <w:rPr>
          <w:rFonts w:ascii="David" w:eastAsiaTheme="minorHAnsi" w:hAnsi="David"/>
          <w:snapToGrid/>
          <w:sz w:val="24"/>
          <w:szCs w:val="24"/>
          <w:rtl/>
        </w:rPr>
        <w:t xml:space="preserve"> יחד עם מדינות ה- </w:t>
      </w:r>
      <w:r w:rsidRPr="00433F30">
        <w:rPr>
          <w:rFonts w:ascii="David" w:eastAsiaTheme="minorHAnsi" w:hAnsi="David"/>
          <w:snapToGrid/>
          <w:sz w:val="24"/>
          <w:szCs w:val="24"/>
        </w:rPr>
        <w:t>G-20</w:t>
      </w:r>
      <w:r w:rsidRPr="00433F30">
        <w:rPr>
          <w:rFonts w:ascii="David" w:eastAsiaTheme="minorHAnsi" w:hAnsi="David"/>
          <w:snapToGrid/>
          <w:sz w:val="24"/>
          <w:szCs w:val="24"/>
          <w:rtl/>
        </w:rPr>
        <w:t xml:space="preserve"> מספר </w:t>
      </w:r>
      <w:proofErr w:type="spellStart"/>
      <w:r w:rsidRPr="00433F30">
        <w:rPr>
          <w:rFonts w:ascii="David" w:eastAsiaTheme="minorHAnsi" w:hAnsi="David"/>
          <w:snapToGrid/>
          <w:sz w:val="24"/>
          <w:szCs w:val="24"/>
          <w:rtl/>
        </w:rPr>
        <w:t>תכניות</w:t>
      </w:r>
      <w:proofErr w:type="spellEnd"/>
      <w:r w:rsidRPr="00433F30">
        <w:rPr>
          <w:rFonts w:ascii="David" w:eastAsiaTheme="minorHAnsi" w:hAnsi="David"/>
          <w:snapToGrid/>
          <w:sz w:val="24"/>
          <w:szCs w:val="24"/>
          <w:rtl/>
        </w:rPr>
        <w:t xml:space="preserve"> פעולה הנוגעות גם למחירי העברה</w:t>
      </w:r>
      <w:r w:rsidRPr="00433F30">
        <w:rPr>
          <w:rFonts w:ascii="David" w:eastAsiaTheme="minorHAnsi" w:hAnsi="David" w:hint="cs"/>
          <w:snapToGrid/>
          <w:sz w:val="24"/>
          <w:szCs w:val="24"/>
          <w:rtl/>
        </w:rPr>
        <w:t>, ביניהן</w:t>
      </w:r>
      <w:r w:rsidRPr="00433F30">
        <w:rPr>
          <w:rFonts w:ascii="David" w:eastAsiaTheme="minorHAnsi" w:hAnsi="David"/>
          <w:snapToGrid/>
          <w:sz w:val="24"/>
          <w:szCs w:val="24"/>
          <w:rtl/>
        </w:rPr>
        <w:t xml:space="preserve"> </w:t>
      </w:r>
      <w:r w:rsidRPr="00433F30">
        <w:rPr>
          <w:rFonts w:ascii="David" w:eastAsiaTheme="minorHAnsi" w:hAnsi="David" w:hint="cs"/>
          <w:snapToGrid/>
          <w:sz w:val="24"/>
          <w:szCs w:val="24"/>
          <w:rtl/>
        </w:rPr>
        <w:t xml:space="preserve"> תכנית פעולה 13 (</w:t>
      </w:r>
      <w:r w:rsidRPr="00433F30">
        <w:rPr>
          <w:rFonts w:ascii="David" w:eastAsiaTheme="minorHAnsi" w:hAnsi="David" w:hint="cs"/>
          <w:snapToGrid/>
          <w:sz w:val="24"/>
          <w:szCs w:val="24"/>
        </w:rPr>
        <w:t>A</w:t>
      </w:r>
      <w:r w:rsidRPr="00433F30">
        <w:rPr>
          <w:rFonts w:ascii="David" w:eastAsiaTheme="minorHAnsi" w:hAnsi="David"/>
          <w:snapToGrid/>
          <w:sz w:val="24"/>
          <w:szCs w:val="24"/>
        </w:rPr>
        <w:t>ction 13</w:t>
      </w:r>
      <w:r w:rsidRPr="00433F30">
        <w:rPr>
          <w:rFonts w:ascii="David" w:eastAsiaTheme="minorHAnsi" w:hAnsi="David" w:hint="cs"/>
          <w:snapToGrid/>
          <w:sz w:val="24"/>
          <w:szCs w:val="24"/>
          <w:rtl/>
        </w:rPr>
        <w:t xml:space="preserve">) </w:t>
      </w:r>
      <w:r w:rsidRPr="00433F30">
        <w:rPr>
          <w:rFonts w:ascii="David" w:eastAsiaTheme="minorHAnsi" w:hAnsi="David"/>
          <w:snapToGrid/>
          <w:sz w:val="24"/>
          <w:szCs w:val="24"/>
          <w:rtl/>
        </w:rPr>
        <w:t xml:space="preserve">, </w:t>
      </w:r>
      <w:r w:rsidRPr="00433F30">
        <w:rPr>
          <w:rFonts w:ascii="David" w:eastAsiaTheme="minorHAnsi" w:hAnsi="David" w:hint="cs"/>
          <w:snapToGrid/>
          <w:sz w:val="24"/>
          <w:szCs w:val="24"/>
          <w:rtl/>
        </w:rPr>
        <w:t xml:space="preserve">בנושא </w:t>
      </w:r>
      <w:r w:rsidRPr="00433F30">
        <w:rPr>
          <w:rFonts w:ascii="David" w:eastAsiaTheme="minorHAnsi" w:hAnsi="David"/>
          <w:snapToGrid/>
          <w:sz w:val="24"/>
          <w:szCs w:val="24"/>
          <w:rtl/>
        </w:rPr>
        <w:t>תיעוד ודיווח במחירי העברה.</w:t>
      </w:r>
    </w:p>
    <w:p w14:paraId="0778B05E" w14:textId="77777777" w:rsidR="00433F30" w:rsidRPr="00433F30" w:rsidRDefault="00433F30" w:rsidP="00433F30">
      <w:pPr>
        <w:pStyle w:val="Hesber1st"/>
        <w:rPr>
          <w:rFonts w:ascii="David" w:eastAsiaTheme="minorHAnsi" w:hAnsi="David"/>
          <w:snapToGrid/>
          <w:sz w:val="24"/>
          <w:szCs w:val="24"/>
          <w:rtl/>
        </w:rPr>
      </w:pPr>
      <w:proofErr w:type="spellStart"/>
      <w:r w:rsidRPr="00433F30">
        <w:rPr>
          <w:rFonts w:ascii="David" w:eastAsiaTheme="minorHAnsi" w:hAnsi="David" w:hint="cs"/>
          <w:snapToGrid/>
          <w:sz w:val="24"/>
          <w:szCs w:val="24"/>
          <w:rtl/>
        </w:rPr>
        <w:t>בתכנית</w:t>
      </w:r>
      <w:proofErr w:type="spellEnd"/>
      <w:r w:rsidRPr="00433F30">
        <w:rPr>
          <w:rFonts w:ascii="David" w:eastAsiaTheme="minorHAnsi" w:hAnsi="David" w:hint="cs"/>
          <w:snapToGrid/>
          <w:sz w:val="24"/>
          <w:szCs w:val="24"/>
          <w:rtl/>
        </w:rPr>
        <w:t xml:space="preserve"> פעולה זו נ</w:t>
      </w:r>
      <w:r w:rsidRPr="00433F30">
        <w:rPr>
          <w:rFonts w:ascii="David" w:eastAsiaTheme="minorHAnsi" w:hAnsi="David"/>
          <w:snapToGrid/>
          <w:sz w:val="24"/>
          <w:szCs w:val="24"/>
          <w:rtl/>
        </w:rPr>
        <w:t>קבע ש</w:t>
      </w:r>
      <w:r w:rsidRPr="00433F30">
        <w:rPr>
          <w:rFonts w:ascii="David" w:eastAsiaTheme="minorHAnsi" w:hAnsi="David" w:hint="cs"/>
          <w:snapToGrid/>
          <w:sz w:val="24"/>
          <w:szCs w:val="24"/>
          <w:rtl/>
        </w:rPr>
        <w:t>חובות ה</w:t>
      </w:r>
      <w:r w:rsidRPr="00433F30">
        <w:rPr>
          <w:rFonts w:ascii="David" w:eastAsiaTheme="minorHAnsi" w:hAnsi="David"/>
          <w:snapToGrid/>
          <w:sz w:val="24"/>
          <w:szCs w:val="24"/>
          <w:rtl/>
        </w:rPr>
        <w:t>תיעוד במחירי העברה</w:t>
      </w:r>
      <w:r w:rsidRPr="00433F30">
        <w:rPr>
          <w:rFonts w:ascii="David" w:eastAsiaTheme="minorHAnsi" w:hAnsi="David" w:hint="cs"/>
          <w:snapToGrid/>
          <w:sz w:val="24"/>
          <w:szCs w:val="24"/>
          <w:rtl/>
        </w:rPr>
        <w:t xml:space="preserve"> לעניין עסקה שנעשית בין שתי ישויות ממדינות שונות בקבוצה רב לאומית,</w:t>
      </w:r>
      <w:r w:rsidRPr="00433F30">
        <w:rPr>
          <w:rFonts w:ascii="David" w:eastAsiaTheme="minorHAnsi" w:hAnsi="David"/>
          <w:snapToGrid/>
          <w:sz w:val="24"/>
          <w:szCs w:val="24"/>
          <w:rtl/>
        </w:rPr>
        <w:t xml:space="preserve"> יורכב</w:t>
      </w:r>
      <w:r w:rsidRPr="00433F30">
        <w:rPr>
          <w:rFonts w:ascii="David" w:eastAsiaTheme="minorHAnsi" w:hAnsi="David" w:hint="cs"/>
          <w:snapToGrid/>
          <w:sz w:val="24"/>
          <w:szCs w:val="24"/>
          <w:rtl/>
        </w:rPr>
        <w:t>ו</w:t>
      </w:r>
      <w:r w:rsidR="005A6DD6">
        <w:rPr>
          <w:rFonts w:ascii="David" w:eastAsiaTheme="minorHAnsi" w:hAnsi="David"/>
          <w:snapToGrid/>
          <w:sz w:val="24"/>
          <w:szCs w:val="24"/>
          <w:rtl/>
        </w:rPr>
        <w:t xml:space="preserve"> מ</w:t>
      </w:r>
      <w:r w:rsidRPr="00433F30">
        <w:rPr>
          <w:rFonts w:ascii="David" w:eastAsiaTheme="minorHAnsi" w:hAnsi="David" w:hint="cs"/>
          <w:snapToGrid/>
          <w:sz w:val="24"/>
          <w:szCs w:val="24"/>
          <w:rtl/>
        </w:rPr>
        <w:t>שלושה</w:t>
      </w:r>
      <w:r w:rsidRPr="00433F30">
        <w:rPr>
          <w:rFonts w:ascii="David" w:eastAsiaTheme="minorHAnsi" w:hAnsi="David"/>
          <w:snapToGrid/>
          <w:sz w:val="24"/>
          <w:szCs w:val="24"/>
          <w:rtl/>
        </w:rPr>
        <w:t xml:space="preserve"> נדבכים:</w:t>
      </w:r>
    </w:p>
    <w:p w14:paraId="3C12CCBB" w14:textId="77777777" w:rsidR="00433F30" w:rsidRPr="00433F30" w:rsidRDefault="00433F30" w:rsidP="00FB6B96">
      <w:pPr>
        <w:pStyle w:val="Hesber1st"/>
        <w:rPr>
          <w:rFonts w:ascii="David" w:eastAsiaTheme="minorHAnsi" w:hAnsi="David"/>
          <w:snapToGrid/>
          <w:sz w:val="24"/>
          <w:szCs w:val="24"/>
          <w:rtl/>
        </w:rPr>
      </w:pPr>
      <w:r w:rsidRPr="00433F30">
        <w:rPr>
          <w:rFonts w:ascii="David" w:eastAsiaTheme="minorHAnsi" w:hAnsi="David"/>
          <w:snapToGrid/>
          <w:sz w:val="24"/>
          <w:szCs w:val="24"/>
          <w:rtl/>
        </w:rPr>
        <w:t xml:space="preserve">א.     </w:t>
      </w:r>
      <w:r w:rsidRPr="00433F30">
        <w:rPr>
          <w:rFonts w:ascii="David" w:eastAsiaTheme="minorHAnsi" w:hAnsi="David"/>
          <w:snapToGrid/>
          <w:sz w:val="24"/>
          <w:szCs w:val="24"/>
        </w:rPr>
        <w:t>Local File</w:t>
      </w:r>
      <w:r w:rsidRPr="00433F30">
        <w:rPr>
          <w:rFonts w:ascii="David" w:eastAsiaTheme="minorHAnsi" w:hAnsi="David"/>
          <w:snapToGrid/>
          <w:sz w:val="24"/>
          <w:szCs w:val="24"/>
          <w:rtl/>
        </w:rPr>
        <w:t xml:space="preserve"> </w:t>
      </w:r>
      <w:r w:rsidRPr="00433F30">
        <w:rPr>
          <w:rFonts w:ascii="David" w:eastAsiaTheme="minorHAnsi" w:hAnsi="David" w:hint="cs"/>
          <w:snapToGrid/>
          <w:sz w:val="24"/>
          <w:szCs w:val="24"/>
          <w:rtl/>
        </w:rPr>
        <w:t>– מידע אודות עסקאות שביצעה ישות מקומית בקבוצה הרב לאומית. חובת תיעוד זו דומה במהותה לחובת הדיווח הקיימת היום בתקנות, בתוספת רכיבי מידע נוספים החיוניים לקביעת תנאי השוק בעסקאות אלו.</w:t>
      </w:r>
    </w:p>
    <w:p w14:paraId="3844FFD2" w14:textId="77777777" w:rsidR="00433F30" w:rsidRPr="00433F30" w:rsidRDefault="00433F30" w:rsidP="00FB6B96">
      <w:pPr>
        <w:pStyle w:val="Hesber1st"/>
        <w:rPr>
          <w:rFonts w:ascii="David" w:eastAsiaTheme="minorHAnsi" w:hAnsi="David"/>
          <w:snapToGrid/>
          <w:sz w:val="24"/>
          <w:szCs w:val="24"/>
          <w:rtl/>
        </w:rPr>
      </w:pPr>
      <w:r w:rsidRPr="00433F30">
        <w:rPr>
          <w:rFonts w:ascii="David" w:eastAsiaTheme="minorHAnsi" w:hAnsi="David"/>
          <w:snapToGrid/>
          <w:sz w:val="24"/>
          <w:szCs w:val="24"/>
          <w:rtl/>
        </w:rPr>
        <w:t xml:space="preserve">ב.     </w:t>
      </w:r>
      <w:r w:rsidRPr="00433F30">
        <w:rPr>
          <w:rFonts w:ascii="David" w:eastAsiaTheme="minorHAnsi" w:hAnsi="David"/>
          <w:snapToGrid/>
          <w:sz w:val="24"/>
          <w:szCs w:val="24"/>
        </w:rPr>
        <w:t>Master File</w:t>
      </w:r>
      <w:r w:rsidRPr="00433F30">
        <w:rPr>
          <w:rFonts w:ascii="David" w:eastAsiaTheme="minorHAnsi" w:hAnsi="David"/>
          <w:snapToGrid/>
          <w:sz w:val="24"/>
          <w:szCs w:val="24"/>
          <w:rtl/>
        </w:rPr>
        <w:t xml:space="preserve"> </w:t>
      </w:r>
      <w:r w:rsidRPr="00433F30">
        <w:rPr>
          <w:rFonts w:ascii="David" w:eastAsiaTheme="minorHAnsi" w:hAnsi="David" w:hint="cs"/>
          <w:snapToGrid/>
          <w:sz w:val="24"/>
          <w:szCs w:val="24"/>
          <w:rtl/>
        </w:rPr>
        <w:t xml:space="preserve">– מידע מקיף אודות הקבוצה הרב לאומית בכללותה. מקורם של נתונים אלו בדרך כלל יהיה בחברת האם הסופית של הקבוצה, כאשר החברות הבנות יוכלו להגיש את המידע במדינת </w:t>
      </w:r>
      <w:proofErr w:type="spellStart"/>
      <w:r w:rsidRPr="00433F30">
        <w:rPr>
          <w:rFonts w:ascii="David" w:eastAsiaTheme="minorHAnsi" w:hAnsi="David" w:hint="cs"/>
          <w:snapToGrid/>
          <w:sz w:val="24"/>
          <w:szCs w:val="24"/>
          <w:rtl/>
        </w:rPr>
        <w:t>תושבותן</w:t>
      </w:r>
      <w:proofErr w:type="spellEnd"/>
      <w:r w:rsidRPr="00433F30">
        <w:rPr>
          <w:rFonts w:ascii="David" w:eastAsiaTheme="minorHAnsi" w:hAnsi="David" w:hint="cs"/>
          <w:snapToGrid/>
          <w:sz w:val="24"/>
          <w:szCs w:val="24"/>
          <w:rtl/>
        </w:rPr>
        <w:t xml:space="preserve">, אם יתבקשו לעשות זאת. </w:t>
      </w:r>
    </w:p>
    <w:p w14:paraId="4A16E59E" w14:textId="77777777" w:rsidR="00433F30" w:rsidRPr="00433F30" w:rsidRDefault="00433F30" w:rsidP="00FB6B96">
      <w:pPr>
        <w:pStyle w:val="Hesber1st"/>
        <w:rPr>
          <w:rFonts w:ascii="David" w:eastAsiaTheme="minorHAnsi" w:hAnsi="David"/>
          <w:snapToGrid/>
          <w:sz w:val="24"/>
          <w:szCs w:val="24"/>
        </w:rPr>
      </w:pPr>
      <w:r w:rsidRPr="00433F30">
        <w:rPr>
          <w:rFonts w:ascii="David" w:eastAsiaTheme="minorHAnsi" w:hAnsi="David"/>
          <w:snapToGrid/>
          <w:sz w:val="24"/>
          <w:szCs w:val="24"/>
          <w:rtl/>
        </w:rPr>
        <w:t xml:space="preserve">ג.      </w:t>
      </w:r>
      <w:r w:rsidRPr="00433F30">
        <w:rPr>
          <w:rFonts w:ascii="David" w:eastAsiaTheme="minorHAnsi" w:hAnsi="David"/>
          <w:snapToGrid/>
          <w:sz w:val="24"/>
          <w:szCs w:val="24"/>
        </w:rPr>
        <w:t xml:space="preserve">  – Country </w:t>
      </w:r>
      <w:proofErr w:type="gramStart"/>
      <w:r w:rsidRPr="00433F30">
        <w:rPr>
          <w:rFonts w:ascii="David" w:eastAsiaTheme="minorHAnsi" w:hAnsi="David"/>
          <w:snapToGrid/>
          <w:sz w:val="24"/>
          <w:szCs w:val="24"/>
        </w:rPr>
        <w:t>By</w:t>
      </w:r>
      <w:proofErr w:type="gramEnd"/>
      <w:r w:rsidRPr="00433F30">
        <w:rPr>
          <w:rFonts w:ascii="David" w:eastAsiaTheme="minorHAnsi" w:hAnsi="David"/>
          <w:snapToGrid/>
          <w:sz w:val="24"/>
          <w:szCs w:val="24"/>
        </w:rPr>
        <w:t xml:space="preserve"> Country (CBC) Report</w:t>
      </w:r>
      <w:r w:rsidRPr="00433F30">
        <w:rPr>
          <w:rFonts w:ascii="David" w:eastAsiaTheme="minorHAnsi" w:hAnsi="David"/>
          <w:snapToGrid/>
          <w:sz w:val="24"/>
          <w:szCs w:val="24"/>
          <w:rtl/>
        </w:rPr>
        <w:t xml:space="preserve">דוח בין מדינתי </w:t>
      </w:r>
      <w:r w:rsidRPr="00433F30">
        <w:rPr>
          <w:rFonts w:ascii="David" w:eastAsiaTheme="minorHAnsi" w:hAnsi="David" w:hint="cs"/>
          <w:snapToGrid/>
          <w:sz w:val="24"/>
          <w:szCs w:val="24"/>
          <w:rtl/>
        </w:rPr>
        <w:t xml:space="preserve">הכולל </w:t>
      </w:r>
      <w:r w:rsidRPr="00433F30">
        <w:rPr>
          <w:rFonts w:ascii="David" w:eastAsiaTheme="minorHAnsi" w:hAnsi="David"/>
          <w:snapToGrid/>
          <w:sz w:val="24"/>
          <w:szCs w:val="24"/>
          <w:rtl/>
        </w:rPr>
        <w:t xml:space="preserve">מידע מקיף </w:t>
      </w:r>
      <w:r w:rsidRPr="00433F30">
        <w:rPr>
          <w:rFonts w:ascii="David" w:eastAsiaTheme="minorHAnsi" w:hAnsi="David" w:hint="cs"/>
          <w:snapToGrid/>
          <w:sz w:val="24"/>
          <w:szCs w:val="24"/>
          <w:rtl/>
        </w:rPr>
        <w:t xml:space="preserve">ומפורט </w:t>
      </w:r>
      <w:r w:rsidRPr="00433F30">
        <w:rPr>
          <w:rFonts w:ascii="David" w:eastAsiaTheme="minorHAnsi" w:hAnsi="David"/>
          <w:snapToGrid/>
          <w:sz w:val="24"/>
          <w:szCs w:val="24"/>
          <w:rtl/>
        </w:rPr>
        <w:t>על כל ישויות הקבוצה</w:t>
      </w:r>
      <w:r w:rsidRPr="00433F30">
        <w:rPr>
          <w:rFonts w:ascii="David" w:eastAsiaTheme="minorHAnsi" w:hAnsi="David" w:hint="cs"/>
          <w:snapToGrid/>
          <w:sz w:val="24"/>
          <w:szCs w:val="24"/>
          <w:rtl/>
        </w:rPr>
        <w:t xml:space="preserve"> הרב לאומית, שתגיש ישות האם הסופית במדינת </w:t>
      </w:r>
      <w:proofErr w:type="spellStart"/>
      <w:r w:rsidRPr="00433F30">
        <w:rPr>
          <w:rFonts w:ascii="David" w:eastAsiaTheme="minorHAnsi" w:hAnsi="David" w:hint="cs"/>
          <w:snapToGrid/>
          <w:sz w:val="24"/>
          <w:szCs w:val="24"/>
          <w:rtl/>
        </w:rPr>
        <w:t>תושבותה</w:t>
      </w:r>
      <w:proofErr w:type="spellEnd"/>
      <w:r w:rsidRPr="00433F30">
        <w:rPr>
          <w:rFonts w:ascii="David" w:eastAsiaTheme="minorHAnsi" w:hAnsi="David" w:hint="cs"/>
          <w:snapToGrid/>
          <w:sz w:val="24"/>
          <w:szCs w:val="24"/>
          <w:rtl/>
        </w:rPr>
        <w:t>.</w:t>
      </w:r>
      <w:r w:rsidRPr="00433F30">
        <w:rPr>
          <w:rFonts w:ascii="David" w:eastAsiaTheme="minorHAnsi" w:hAnsi="David"/>
          <w:snapToGrid/>
          <w:sz w:val="24"/>
          <w:szCs w:val="24"/>
          <w:rtl/>
        </w:rPr>
        <w:t xml:space="preserve"> </w:t>
      </w:r>
      <w:r w:rsidRPr="00433F30">
        <w:rPr>
          <w:rFonts w:ascii="David" w:eastAsiaTheme="minorHAnsi" w:hAnsi="David" w:hint="cs"/>
          <w:snapToGrid/>
          <w:sz w:val="24"/>
          <w:szCs w:val="24"/>
          <w:rtl/>
        </w:rPr>
        <w:t xml:space="preserve">לפי תכנית פעולה 13, וההסכם הבין לאומי שגובש בעקבותיו, הדוח </w:t>
      </w:r>
      <w:r w:rsidRPr="00433F30">
        <w:rPr>
          <w:rFonts w:ascii="David" w:eastAsiaTheme="minorHAnsi" w:hAnsi="David"/>
          <w:snapToGrid/>
          <w:sz w:val="24"/>
          <w:szCs w:val="24"/>
          <w:rtl/>
        </w:rPr>
        <w:t xml:space="preserve">יוגש </w:t>
      </w:r>
      <w:r w:rsidRPr="00433F30">
        <w:rPr>
          <w:rFonts w:ascii="David" w:eastAsiaTheme="minorHAnsi" w:hAnsi="David" w:hint="cs"/>
          <w:snapToGrid/>
          <w:sz w:val="24"/>
          <w:szCs w:val="24"/>
          <w:rtl/>
        </w:rPr>
        <w:t>רק בחברות רב לאומיות</w:t>
      </w:r>
      <w:r w:rsidRPr="00433F30">
        <w:rPr>
          <w:rFonts w:ascii="David" w:eastAsiaTheme="minorHAnsi" w:hAnsi="David"/>
          <w:snapToGrid/>
          <w:sz w:val="24"/>
          <w:szCs w:val="24"/>
          <w:rtl/>
        </w:rPr>
        <w:t xml:space="preserve"> </w:t>
      </w:r>
      <w:r w:rsidRPr="00433F30">
        <w:rPr>
          <w:rFonts w:ascii="David" w:eastAsiaTheme="minorHAnsi" w:hAnsi="David" w:hint="cs"/>
          <w:snapToGrid/>
          <w:sz w:val="24"/>
          <w:szCs w:val="24"/>
          <w:rtl/>
        </w:rPr>
        <w:t>שה</w:t>
      </w:r>
      <w:r w:rsidRPr="00433F30">
        <w:rPr>
          <w:rFonts w:ascii="David" w:eastAsiaTheme="minorHAnsi" w:hAnsi="David"/>
          <w:snapToGrid/>
          <w:sz w:val="24"/>
          <w:szCs w:val="24"/>
          <w:rtl/>
        </w:rPr>
        <w:t xml:space="preserve">מחזור </w:t>
      </w:r>
      <w:r w:rsidRPr="00433F30">
        <w:rPr>
          <w:rFonts w:ascii="David" w:eastAsiaTheme="minorHAnsi" w:hAnsi="David" w:hint="cs"/>
          <w:snapToGrid/>
          <w:sz w:val="24"/>
          <w:szCs w:val="24"/>
          <w:rtl/>
        </w:rPr>
        <w:t>ה</w:t>
      </w:r>
      <w:r w:rsidRPr="00433F30">
        <w:rPr>
          <w:rFonts w:ascii="David" w:eastAsiaTheme="minorHAnsi" w:hAnsi="David"/>
          <w:snapToGrid/>
          <w:sz w:val="24"/>
          <w:szCs w:val="24"/>
          <w:rtl/>
        </w:rPr>
        <w:t>מאוחד של</w:t>
      </w:r>
      <w:r w:rsidRPr="00433F30">
        <w:rPr>
          <w:rFonts w:ascii="David" w:eastAsiaTheme="minorHAnsi" w:hAnsi="David" w:hint="cs"/>
          <w:snapToGrid/>
          <w:sz w:val="24"/>
          <w:szCs w:val="24"/>
          <w:rtl/>
        </w:rPr>
        <w:t>הן גבוה מ-</w:t>
      </w:r>
      <w:r w:rsidR="009D0307">
        <w:rPr>
          <w:rFonts w:ascii="David" w:eastAsiaTheme="minorHAnsi" w:hAnsi="David"/>
          <w:snapToGrid/>
          <w:sz w:val="24"/>
          <w:szCs w:val="24"/>
          <w:rtl/>
        </w:rPr>
        <w:t xml:space="preserve"> 3</w:t>
      </w:r>
      <w:r w:rsidRPr="00433F30">
        <w:rPr>
          <w:rFonts w:ascii="David" w:eastAsiaTheme="minorHAnsi" w:hAnsi="David"/>
          <w:snapToGrid/>
          <w:sz w:val="24"/>
          <w:szCs w:val="24"/>
          <w:rtl/>
        </w:rPr>
        <w:t xml:space="preserve"> מיליארד ₪</w:t>
      </w:r>
      <w:r w:rsidRPr="00433F30">
        <w:rPr>
          <w:rFonts w:ascii="David" w:eastAsiaTheme="minorHAnsi" w:hAnsi="David" w:hint="cs"/>
          <w:snapToGrid/>
          <w:sz w:val="24"/>
          <w:szCs w:val="24"/>
          <w:rtl/>
        </w:rPr>
        <w:t xml:space="preserve"> (750 מיליון אירו)</w:t>
      </w:r>
      <w:r w:rsidRPr="00433F30">
        <w:rPr>
          <w:rFonts w:ascii="David" w:eastAsiaTheme="minorHAnsi" w:hAnsi="David"/>
          <w:snapToGrid/>
          <w:sz w:val="24"/>
          <w:szCs w:val="24"/>
          <w:rtl/>
        </w:rPr>
        <w:t xml:space="preserve">. </w:t>
      </w:r>
      <w:r w:rsidRPr="00433F30">
        <w:rPr>
          <w:rFonts w:ascii="David" w:eastAsiaTheme="minorHAnsi" w:hAnsi="David" w:hint="cs"/>
          <w:snapToGrid/>
          <w:sz w:val="24"/>
          <w:szCs w:val="24"/>
          <w:rtl/>
        </w:rPr>
        <w:t>החובה המיוחדת להכין ולהגיש את הדוח האמור, תתווסף לפקודה בסעיף 85ג על פי הצעת החוק, המונחת בו</w:t>
      </w:r>
      <w:r w:rsidR="00FB6B96">
        <w:rPr>
          <w:rFonts w:ascii="David" w:eastAsiaTheme="minorHAnsi" w:hAnsi="David" w:hint="cs"/>
          <w:snapToGrid/>
          <w:sz w:val="24"/>
          <w:szCs w:val="24"/>
          <w:rtl/>
        </w:rPr>
        <w:t>ו</w:t>
      </w:r>
      <w:r w:rsidRPr="00433F30">
        <w:rPr>
          <w:rFonts w:ascii="David" w:eastAsiaTheme="minorHAnsi" w:hAnsi="David" w:hint="cs"/>
          <w:snapToGrid/>
          <w:sz w:val="24"/>
          <w:szCs w:val="24"/>
          <w:rtl/>
        </w:rPr>
        <w:t>עדת הכספים לקראת הכנה לקראת קריאה שניה ושלישית.</w:t>
      </w:r>
    </w:p>
    <w:p w14:paraId="6B73BF6E" w14:textId="77777777" w:rsidR="00433F30" w:rsidRPr="00433F30" w:rsidRDefault="00433F30" w:rsidP="004462CC">
      <w:pPr>
        <w:pStyle w:val="Hesber1st"/>
        <w:rPr>
          <w:rFonts w:ascii="David" w:eastAsiaTheme="minorHAnsi" w:hAnsi="David"/>
          <w:snapToGrid/>
          <w:sz w:val="24"/>
          <w:szCs w:val="24"/>
          <w:rtl/>
        </w:rPr>
      </w:pPr>
      <w:r w:rsidRPr="00433F30">
        <w:rPr>
          <w:rFonts w:ascii="David" w:eastAsiaTheme="minorHAnsi" w:hAnsi="David" w:hint="cs"/>
          <w:snapToGrid/>
          <w:sz w:val="24"/>
          <w:szCs w:val="24"/>
          <w:rtl/>
        </w:rPr>
        <w:t xml:space="preserve">בתקנות אלו מוצע </w:t>
      </w:r>
      <w:r>
        <w:rPr>
          <w:rFonts w:ascii="David" w:eastAsiaTheme="minorHAnsi" w:hAnsi="David" w:hint="cs"/>
          <w:snapToGrid/>
          <w:sz w:val="24"/>
          <w:szCs w:val="24"/>
          <w:rtl/>
        </w:rPr>
        <w:t xml:space="preserve">לתקן את תקנות </w:t>
      </w:r>
      <w:r w:rsidRPr="00433F30">
        <w:rPr>
          <w:rFonts w:ascii="David" w:eastAsiaTheme="minorHAnsi" w:hAnsi="David"/>
          <w:snapToGrid/>
          <w:sz w:val="24"/>
          <w:szCs w:val="24"/>
          <w:rtl/>
        </w:rPr>
        <w:t>מס הכנסה (קביעת תנאי שוק), התשס"ז-2006</w:t>
      </w:r>
      <w:r>
        <w:rPr>
          <w:rFonts w:ascii="David" w:eastAsiaTheme="minorHAnsi" w:hAnsi="David" w:hint="cs"/>
          <w:snapToGrid/>
          <w:sz w:val="24"/>
          <w:szCs w:val="24"/>
          <w:rtl/>
        </w:rPr>
        <w:t xml:space="preserve"> על מנת </w:t>
      </w:r>
      <w:r w:rsidRPr="00433F30">
        <w:rPr>
          <w:rFonts w:ascii="David" w:eastAsiaTheme="minorHAnsi" w:hAnsi="David" w:hint="cs"/>
          <w:snapToGrid/>
          <w:sz w:val="24"/>
          <w:szCs w:val="24"/>
          <w:rtl/>
        </w:rPr>
        <w:t>ליישם את תכנית פעולה 13 בישראל, כך שישויות ישראליות בקבוצה רב לאומית ידרשו לאסוף ולתעד את המידע במסגרת ה</w:t>
      </w:r>
      <w:r w:rsidRPr="00433F30">
        <w:rPr>
          <w:rFonts w:ascii="David" w:eastAsiaTheme="minorHAnsi" w:hAnsi="David"/>
          <w:snapToGrid/>
          <w:sz w:val="24"/>
          <w:szCs w:val="24"/>
        </w:rPr>
        <w:t>-</w:t>
      </w:r>
      <w:r w:rsidRPr="00433F30">
        <w:rPr>
          <w:rFonts w:ascii="David" w:eastAsiaTheme="minorHAnsi" w:hAnsi="David" w:hint="cs"/>
          <w:snapToGrid/>
          <w:sz w:val="24"/>
          <w:szCs w:val="24"/>
          <w:rtl/>
        </w:rPr>
        <w:t xml:space="preserve"> </w:t>
      </w:r>
      <w:r w:rsidRPr="00433F30">
        <w:rPr>
          <w:rFonts w:ascii="David" w:eastAsiaTheme="minorHAnsi" w:hAnsi="David" w:hint="cs"/>
          <w:snapToGrid/>
          <w:sz w:val="24"/>
          <w:szCs w:val="24"/>
        </w:rPr>
        <w:t>L</w:t>
      </w:r>
      <w:r w:rsidRPr="00433F30">
        <w:rPr>
          <w:rFonts w:ascii="David" w:eastAsiaTheme="minorHAnsi" w:hAnsi="David"/>
          <w:snapToGrid/>
          <w:sz w:val="24"/>
          <w:szCs w:val="24"/>
        </w:rPr>
        <w:t xml:space="preserve">ocal </w:t>
      </w:r>
      <w:r w:rsidRPr="00433F30">
        <w:rPr>
          <w:rFonts w:ascii="David" w:eastAsiaTheme="minorHAnsi" w:hAnsi="David" w:hint="cs"/>
          <w:snapToGrid/>
          <w:sz w:val="24"/>
          <w:szCs w:val="24"/>
        </w:rPr>
        <w:t>F</w:t>
      </w:r>
      <w:r w:rsidRPr="00433F30">
        <w:rPr>
          <w:rFonts w:ascii="David" w:eastAsiaTheme="minorHAnsi" w:hAnsi="David"/>
          <w:snapToGrid/>
          <w:sz w:val="24"/>
          <w:szCs w:val="24"/>
        </w:rPr>
        <w:t>ile</w:t>
      </w:r>
      <w:r w:rsidRPr="00433F30">
        <w:rPr>
          <w:rFonts w:ascii="David" w:eastAsiaTheme="minorHAnsi" w:hAnsi="David" w:hint="cs"/>
          <w:snapToGrid/>
          <w:sz w:val="24"/>
          <w:szCs w:val="24"/>
          <w:rtl/>
        </w:rPr>
        <w:t xml:space="preserve"> וה-</w:t>
      </w:r>
      <w:r w:rsidRPr="00433F30">
        <w:rPr>
          <w:rFonts w:ascii="David" w:eastAsiaTheme="minorHAnsi" w:hAnsi="David"/>
          <w:snapToGrid/>
          <w:sz w:val="24"/>
          <w:szCs w:val="24"/>
          <w:rtl/>
        </w:rPr>
        <w:t xml:space="preserve"> </w:t>
      </w:r>
      <w:r w:rsidRPr="00433F30">
        <w:rPr>
          <w:rFonts w:ascii="David" w:eastAsiaTheme="minorHAnsi" w:hAnsi="David"/>
          <w:snapToGrid/>
          <w:sz w:val="24"/>
          <w:szCs w:val="24"/>
        </w:rPr>
        <w:t>Master File</w:t>
      </w:r>
      <w:r w:rsidRPr="00433F30">
        <w:rPr>
          <w:rFonts w:ascii="David" w:eastAsiaTheme="minorHAnsi" w:hAnsi="David"/>
          <w:snapToGrid/>
          <w:sz w:val="24"/>
          <w:szCs w:val="24"/>
          <w:rtl/>
        </w:rPr>
        <w:t xml:space="preserve"> ו</w:t>
      </w:r>
      <w:r w:rsidRPr="00433F30">
        <w:rPr>
          <w:rFonts w:ascii="David" w:eastAsiaTheme="minorHAnsi" w:hAnsi="David" w:hint="cs"/>
          <w:snapToGrid/>
          <w:sz w:val="24"/>
          <w:szCs w:val="24"/>
          <w:rtl/>
        </w:rPr>
        <w:t>במקרים המתאימים</w:t>
      </w:r>
      <w:r w:rsidRPr="00433F30">
        <w:rPr>
          <w:rFonts w:ascii="David" w:eastAsiaTheme="minorHAnsi" w:hAnsi="David"/>
          <w:snapToGrid/>
          <w:sz w:val="24"/>
          <w:szCs w:val="24"/>
          <w:rtl/>
        </w:rPr>
        <w:t xml:space="preserve"> </w:t>
      </w:r>
      <w:r w:rsidRPr="00433F30">
        <w:rPr>
          <w:rFonts w:ascii="David" w:eastAsiaTheme="minorHAnsi" w:hAnsi="David"/>
          <w:snapToGrid/>
          <w:sz w:val="24"/>
          <w:szCs w:val="24"/>
        </w:rPr>
        <w:t>CBC</w:t>
      </w:r>
      <w:r w:rsidRPr="00433F30">
        <w:rPr>
          <w:rFonts w:ascii="David" w:eastAsiaTheme="minorHAnsi" w:hAnsi="David" w:hint="cs"/>
          <w:snapToGrid/>
          <w:sz w:val="24"/>
          <w:szCs w:val="24"/>
          <w:rtl/>
        </w:rPr>
        <w:t xml:space="preserve">. בהתאם לכך, מוצע לקבוע חובות תיעוד במתווה דומה למתווה שהוצע </w:t>
      </w:r>
      <w:proofErr w:type="spellStart"/>
      <w:r w:rsidRPr="00433F30">
        <w:rPr>
          <w:rFonts w:ascii="David" w:eastAsiaTheme="minorHAnsi" w:hAnsi="David" w:hint="cs"/>
          <w:snapToGrid/>
          <w:sz w:val="24"/>
          <w:szCs w:val="24"/>
          <w:rtl/>
        </w:rPr>
        <w:t>בתכנית</w:t>
      </w:r>
      <w:proofErr w:type="spellEnd"/>
      <w:r w:rsidRPr="00433F30">
        <w:rPr>
          <w:rFonts w:ascii="David" w:eastAsiaTheme="minorHAnsi" w:hAnsi="David" w:hint="cs"/>
          <w:snapToGrid/>
          <w:sz w:val="24"/>
          <w:szCs w:val="24"/>
          <w:rtl/>
        </w:rPr>
        <w:t xml:space="preserve"> פעולה 13. בנוסף, מוצעים תיקונים נקודתיים נוספים הנדרשים לצורך </w:t>
      </w:r>
      <w:r w:rsidR="004462CC">
        <w:rPr>
          <w:rFonts w:ascii="David" w:eastAsiaTheme="minorHAnsi" w:hAnsi="David" w:hint="cs"/>
          <w:snapToGrid/>
          <w:sz w:val="24"/>
          <w:szCs w:val="24"/>
          <w:rtl/>
        </w:rPr>
        <w:t>ייעול</w:t>
      </w:r>
      <w:r w:rsidRPr="00433F30">
        <w:rPr>
          <w:rFonts w:ascii="David" w:eastAsiaTheme="minorHAnsi" w:hAnsi="David" w:hint="cs"/>
          <w:snapToGrid/>
          <w:sz w:val="24"/>
          <w:szCs w:val="24"/>
          <w:rtl/>
        </w:rPr>
        <w:t xml:space="preserve"> הביקורת השוטפת בתחום מחירי העברה.</w:t>
      </w:r>
      <w:r w:rsidRPr="00433F30">
        <w:rPr>
          <w:rFonts w:ascii="David" w:eastAsiaTheme="minorHAnsi" w:hAnsi="David"/>
          <w:snapToGrid/>
          <w:sz w:val="24"/>
          <w:szCs w:val="24"/>
          <w:rtl/>
        </w:rPr>
        <w:t xml:space="preserve"> </w:t>
      </w:r>
    </w:p>
    <w:p w14:paraId="5283C16A" w14:textId="77777777" w:rsidR="004D5814" w:rsidRDefault="004D5814" w:rsidP="003055DA">
      <w:pPr>
        <w:rPr>
          <w:rtl/>
        </w:rPr>
      </w:pPr>
    </w:p>
    <w:p w14:paraId="239FF36D" w14:textId="77777777" w:rsidR="004D5814" w:rsidRDefault="004D5814" w:rsidP="003055DA">
      <w:pPr>
        <w:rPr>
          <w:rtl/>
        </w:rPr>
      </w:pPr>
    </w:p>
    <w:p w14:paraId="4A4A5000" w14:textId="77777777" w:rsidR="004D5814" w:rsidRDefault="004D5814" w:rsidP="003055DA">
      <w:pPr>
        <w:pStyle w:val="4"/>
      </w:pPr>
      <w:bookmarkStart w:id="4" w:name="_Toc53333086"/>
      <w:r>
        <w:rPr>
          <w:rFonts w:hint="cs"/>
          <w:rtl/>
        </w:rPr>
        <w:t>להלן נוסח טיוטת התקנות המוצעות:</w:t>
      </w:r>
      <w:bookmarkEnd w:id="4"/>
      <w:r>
        <w:rPr>
          <w:rFonts w:hint="cs"/>
          <w:rtl/>
        </w:rPr>
        <w:t xml:space="preserve"> </w:t>
      </w:r>
    </w:p>
    <w:p w14:paraId="1FEBDAB5" w14:textId="77777777" w:rsidR="004D5814" w:rsidRPr="00D14847" w:rsidRDefault="004D5814" w:rsidP="003055DA">
      <w:pPr>
        <w:bidi w:val="0"/>
        <w:rPr>
          <w:rFonts w:asciiTheme="minorHAnsi" w:hAnsiTheme="minorHAnsi"/>
        </w:rPr>
      </w:pPr>
      <w:r>
        <w:rPr>
          <w:rtl/>
        </w:rPr>
        <w:lastRenderedPageBreak/>
        <w:br w:type="page"/>
      </w:r>
    </w:p>
    <w:p w14:paraId="363208E7" w14:textId="77777777" w:rsidR="004D5814" w:rsidRDefault="004D5814" w:rsidP="00865F85">
      <w:pPr>
        <w:pStyle w:val="HeadMitparsemetBaze"/>
        <w:keepNext w:val="0"/>
        <w:keepLines w:val="0"/>
        <w:pageBreakBefore w:val="0"/>
        <w:rPr>
          <w:rtl/>
        </w:rPr>
      </w:pPr>
      <w:r>
        <w:rPr>
          <w:rtl/>
        </w:rPr>
        <w:lastRenderedPageBreak/>
        <w:t>טיוטת תקנות מטעם משרד</w:t>
      </w:r>
      <w:r w:rsidR="00865F85">
        <w:rPr>
          <w:rFonts w:hint="cs"/>
          <w:rtl/>
        </w:rPr>
        <w:t xml:space="preserve"> האוצר</w:t>
      </w:r>
      <w:r>
        <w:rPr>
          <w:rtl/>
        </w:rPr>
        <w:t xml:space="preserve">: </w:t>
      </w:r>
    </w:p>
    <w:p w14:paraId="388C53C5" w14:textId="77777777" w:rsidR="004D5814" w:rsidRDefault="004D5814" w:rsidP="00865F85">
      <w:pPr>
        <w:pStyle w:val="HeadHatzaotHok"/>
        <w:keepNext w:val="0"/>
        <w:keepLines w:val="0"/>
        <w:rPr>
          <w:rtl/>
        </w:rPr>
      </w:pPr>
      <w:bookmarkStart w:id="5" w:name="_Toc53333061"/>
      <w:bookmarkStart w:id="6" w:name="_Toc53333087"/>
      <w:r>
        <w:rPr>
          <w:rtl/>
        </w:rPr>
        <w:t xml:space="preserve">טיוטת תקנות </w:t>
      </w:r>
      <w:r w:rsidR="00865F85" w:rsidRPr="00865F85">
        <w:rPr>
          <w:rtl/>
        </w:rPr>
        <w:t>מס הכנסה (קביעת תנאי שוק)(תיקון), התש</w:t>
      </w:r>
      <w:r w:rsidR="00D14847">
        <w:rPr>
          <w:rFonts w:hint="cs"/>
          <w:rtl/>
        </w:rPr>
        <w:t>פ</w:t>
      </w:r>
      <w:r w:rsidR="00D14847">
        <w:rPr>
          <w:rtl/>
        </w:rPr>
        <w:t>"</w:t>
      </w:r>
      <w:r w:rsidR="00D14847">
        <w:rPr>
          <w:rFonts w:hint="cs"/>
          <w:rtl/>
        </w:rPr>
        <w:t>א</w:t>
      </w:r>
      <w:r w:rsidR="00865F85" w:rsidRPr="00865F85">
        <w:rPr>
          <w:rtl/>
        </w:rPr>
        <w:t>-2020</w:t>
      </w:r>
      <w:bookmarkEnd w:id="5"/>
      <w:bookmarkEnd w:id="6"/>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624"/>
        <w:gridCol w:w="624"/>
        <w:gridCol w:w="4026"/>
      </w:tblGrid>
      <w:tr w:rsidR="004D5814" w14:paraId="2A31CEEA" w14:textId="77777777" w:rsidTr="00865F85">
        <w:trPr>
          <w:cantSplit/>
          <w:trHeight w:val="60"/>
        </w:trPr>
        <w:tc>
          <w:tcPr>
            <w:tcW w:w="1871" w:type="dxa"/>
          </w:tcPr>
          <w:p w14:paraId="7A767BD6" w14:textId="77777777" w:rsidR="004D5814" w:rsidRDefault="004D5814">
            <w:pPr>
              <w:pStyle w:val="TableSideHeading"/>
              <w:rPr>
                <w:rtl/>
              </w:rPr>
            </w:pPr>
          </w:p>
        </w:tc>
        <w:tc>
          <w:tcPr>
            <w:tcW w:w="624" w:type="dxa"/>
          </w:tcPr>
          <w:p w14:paraId="2E79C7B0" w14:textId="77777777" w:rsidR="004D5814" w:rsidRDefault="004D5814">
            <w:pPr>
              <w:pStyle w:val="TableText"/>
            </w:pPr>
          </w:p>
        </w:tc>
        <w:tc>
          <w:tcPr>
            <w:tcW w:w="7146" w:type="dxa"/>
            <w:gridSpan w:val="6"/>
            <w:hideMark/>
          </w:tcPr>
          <w:p w14:paraId="10EE8A06" w14:textId="77777777" w:rsidR="004D5814" w:rsidRDefault="00865F85" w:rsidP="00865F85">
            <w:pPr>
              <w:pStyle w:val="TableBlock"/>
            </w:pPr>
            <w:r w:rsidRPr="00183B8C">
              <w:rPr>
                <w:rFonts w:hint="cs"/>
                <w:sz w:val="26"/>
                <w:rtl/>
              </w:rPr>
              <w:t>בתוקף סמכותי לפי סעיפים 85א, 85ב, 85ג, ו-243 לפקודת מס הכנסה</w:t>
            </w:r>
            <w:r>
              <w:rPr>
                <w:rStyle w:val="a7"/>
                <w:sz w:val="26"/>
                <w:rtl/>
              </w:rPr>
              <w:footnoteReference w:id="1"/>
            </w:r>
            <w:r w:rsidRPr="00183B8C">
              <w:rPr>
                <w:rFonts w:hint="cs"/>
                <w:sz w:val="26"/>
                <w:rtl/>
              </w:rPr>
              <w:t xml:space="preserve"> (להלן – הפקודה), ובאישור ועדת הכספים של הכנסת, אני מתקין תקנות אלה:</w:t>
            </w:r>
          </w:p>
        </w:tc>
      </w:tr>
      <w:tr w:rsidR="004D5814" w14:paraId="45E750B0" w14:textId="77777777" w:rsidTr="00865F85">
        <w:trPr>
          <w:cantSplit/>
          <w:trHeight w:val="60"/>
        </w:trPr>
        <w:tc>
          <w:tcPr>
            <w:tcW w:w="1871" w:type="dxa"/>
          </w:tcPr>
          <w:p w14:paraId="53DBAC77" w14:textId="77777777" w:rsidR="004D5814" w:rsidRDefault="004D5814">
            <w:pPr>
              <w:pStyle w:val="TableSideHeading"/>
            </w:pPr>
          </w:p>
        </w:tc>
        <w:tc>
          <w:tcPr>
            <w:tcW w:w="624" w:type="dxa"/>
          </w:tcPr>
          <w:p w14:paraId="2D7439AF" w14:textId="77777777" w:rsidR="004D5814" w:rsidRDefault="004D5814">
            <w:pPr>
              <w:pStyle w:val="TableText"/>
            </w:pPr>
          </w:p>
        </w:tc>
        <w:tc>
          <w:tcPr>
            <w:tcW w:w="7146" w:type="dxa"/>
            <w:gridSpan w:val="6"/>
          </w:tcPr>
          <w:p w14:paraId="5ED5A9FE" w14:textId="77777777" w:rsidR="004D5814" w:rsidRDefault="004D5814">
            <w:pPr>
              <w:pStyle w:val="TableHead"/>
            </w:pPr>
          </w:p>
        </w:tc>
      </w:tr>
      <w:tr w:rsidR="004D5814" w14:paraId="78523B1F" w14:textId="77777777" w:rsidTr="00865F85">
        <w:trPr>
          <w:cantSplit/>
          <w:trHeight w:val="60"/>
        </w:trPr>
        <w:tc>
          <w:tcPr>
            <w:tcW w:w="1871" w:type="dxa"/>
          </w:tcPr>
          <w:p w14:paraId="560F3A7D" w14:textId="77777777" w:rsidR="004D5814" w:rsidRDefault="00865F85">
            <w:pPr>
              <w:pStyle w:val="TableSideHeading"/>
            </w:pPr>
            <w:bookmarkStart w:id="7" w:name="_Toc53333062"/>
            <w:bookmarkStart w:id="8" w:name="_Toc53333088"/>
            <w:r>
              <w:rPr>
                <w:rFonts w:hint="cs"/>
                <w:rtl/>
              </w:rPr>
              <w:t>תיקון תקנה 1</w:t>
            </w:r>
            <w:bookmarkEnd w:id="7"/>
            <w:bookmarkEnd w:id="8"/>
          </w:p>
        </w:tc>
        <w:tc>
          <w:tcPr>
            <w:tcW w:w="624" w:type="dxa"/>
          </w:tcPr>
          <w:p w14:paraId="2143C359" w14:textId="77777777" w:rsidR="004D5814" w:rsidRDefault="004D5814" w:rsidP="004D5814">
            <w:pPr>
              <w:pStyle w:val="TableText"/>
              <w:numPr>
                <w:ilvl w:val="0"/>
                <w:numId w:val="2"/>
              </w:numPr>
            </w:pPr>
          </w:p>
        </w:tc>
        <w:tc>
          <w:tcPr>
            <w:tcW w:w="7146" w:type="dxa"/>
            <w:gridSpan w:val="6"/>
          </w:tcPr>
          <w:p w14:paraId="3FAA036D" w14:textId="77777777" w:rsidR="004D5814" w:rsidRDefault="00865F85">
            <w:pPr>
              <w:pStyle w:val="TableBlock"/>
            </w:pPr>
            <w:r w:rsidRPr="00B16BB5">
              <w:rPr>
                <w:rFonts w:hint="cs"/>
                <w:rtl/>
              </w:rPr>
              <w:t xml:space="preserve">בתקנה 1 לתקנות מס הכנסה (קביעת תנאי שוק), </w:t>
            </w:r>
            <w:r>
              <w:rPr>
                <w:rFonts w:hint="cs"/>
                <w:rtl/>
              </w:rPr>
              <w:t>ה</w:t>
            </w:r>
            <w:r w:rsidRPr="00B16BB5">
              <w:rPr>
                <w:rFonts w:hint="cs"/>
                <w:rtl/>
              </w:rPr>
              <w:t>תשס"ז-2006</w:t>
            </w:r>
            <w:r>
              <w:rPr>
                <w:rStyle w:val="a7"/>
                <w:rtl/>
              </w:rPr>
              <w:footnoteReference w:id="2"/>
            </w:r>
            <w:r>
              <w:rPr>
                <w:rFonts w:hint="cs"/>
                <w:rtl/>
              </w:rPr>
              <w:t xml:space="preserve"> </w:t>
            </w:r>
            <w:r w:rsidRPr="00B16BB5">
              <w:rPr>
                <w:rFonts w:hint="cs"/>
                <w:rtl/>
              </w:rPr>
              <w:t xml:space="preserve">(להלן </w:t>
            </w:r>
            <w:r w:rsidRPr="00B16BB5">
              <w:rPr>
                <w:rtl/>
              </w:rPr>
              <w:t>–</w:t>
            </w:r>
            <w:r w:rsidRPr="00B16BB5">
              <w:rPr>
                <w:rFonts w:hint="cs"/>
                <w:rtl/>
              </w:rPr>
              <w:t xml:space="preserve"> התקנות העיקריות)</w:t>
            </w:r>
            <w:r w:rsidR="005173AF">
              <w:rPr>
                <w:rFonts w:hint="cs"/>
                <w:rtl/>
              </w:rPr>
              <w:t>, לפני ההגדרה "טווח הערכים" יבוא</w:t>
            </w:r>
            <w:r>
              <w:rPr>
                <w:rFonts w:hint="cs"/>
                <w:rtl/>
              </w:rPr>
              <w:t xml:space="preserve"> - </w:t>
            </w:r>
            <w:r w:rsidRPr="00B16BB5">
              <w:rPr>
                <w:rFonts w:hint="cs"/>
                <w:rtl/>
              </w:rPr>
              <w:t xml:space="preserve"> </w:t>
            </w:r>
          </w:p>
        </w:tc>
      </w:tr>
      <w:tr w:rsidR="00E10A5D" w14:paraId="4C5C4406" w14:textId="77777777">
        <w:trPr>
          <w:cantSplit/>
          <w:trHeight w:val="60"/>
        </w:trPr>
        <w:tc>
          <w:tcPr>
            <w:tcW w:w="1871" w:type="dxa"/>
          </w:tcPr>
          <w:p w14:paraId="05B2FBE4" w14:textId="77777777" w:rsidR="00E10A5D" w:rsidRDefault="00E10A5D">
            <w:pPr>
              <w:pStyle w:val="TableSideHeading"/>
            </w:pPr>
          </w:p>
        </w:tc>
        <w:tc>
          <w:tcPr>
            <w:tcW w:w="624" w:type="dxa"/>
          </w:tcPr>
          <w:p w14:paraId="3E761566" w14:textId="77777777" w:rsidR="00E10A5D" w:rsidRDefault="00E10A5D">
            <w:pPr>
              <w:pStyle w:val="TableText"/>
            </w:pPr>
          </w:p>
        </w:tc>
        <w:tc>
          <w:tcPr>
            <w:tcW w:w="624" w:type="dxa"/>
          </w:tcPr>
          <w:p w14:paraId="531FAD0A" w14:textId="77777777" w:rsidR="00E10A5D" w:rsidRDefault="00E10A5D">
            <w:pPr>
              <w:pStyle w:val="TableText"/>
            </w:pPr>
          </w:p>
        </w:tc>
        <w:tc>
          <w:tcPr>
            <w:tcW w:w="6522" w:type="dxa"/>
            <w:gridSpan w:val="5"/>
          </w:tcPr>
          <w:p w14:paraId="013E4150" w14:textId="77777777" w:rsidR="00E10A5D" w:rsidRPr="00E10A5D" w:rsidRDefault="00E10A5D" w:rsidP="000937EE">
            <w:pPr>
              <w:pStyle w:val="TableBlockOutdent"/>
            </w:pPr>
            <w:r>
              <w:rPr>
                <w:rtl/>
              </w:rPr>
              <w:t>""</w:t>
            </w:r>
            <w:r>
              <w:rPr>
                <w:rFonts w:hint="cs"/>
                <w:rtl/>
              </w:rPr>
              <w:t xml:space="preserve"> דוח ישות אם סופית" -  דוח כאמור בסעיף 85ג(ג) לפקודה;</w:t>
            </w:r>
          </w:p>
        </w:tc>
      </w:tr>
      <w:tr w:rsidR="00865F85" w14:paraId="236DD3AB" w14:textId="77777777" w:rsidTr="00865F85">
        <w:trPr>
          <w:cantSplit/>
          <w:trHeight w:val="60"/>
        </w:trPr>
        <w:tc>
          <w:tcPr>
            <w:tcW w:w="1871" w:type="dxa"/>
          </w:tcPr>
          <w:p w14:paraId="0AAA693C" w14:textId="77777777" w:rsidR="00865F85" w:rsidRDefault="00865F85">
            <w:pPr>
              <w:pStyle w:val="TableSideHeading"/>
            </w:pPr>
          </w:p>
        </w:tc>
        <w:tc>
          <w:tcPr>
            <w:tcW w:w="624" w:type="dxa"/>
          </w:tcPr>
          <w:p w14:paraId="4693D393" w14:textId="77777777" w:rsidR="00865F85" w:rsidRDefault="00865F85">
            <w:pPr>
              <w:pStyle w:val="TableText"/>
            </w:pPr>
          </w:p>
        </w:tc>
        <w:tc>
          <w:tcPr>
            <w:tcW w:w="624" w:type="dxa"/>
          </w:tcPr>
          <w:p w14:paraId="302891C2" w14:textId="77777777" w:rsidR="00865F85" w:rsidRDefault="00865F85">
            <w:pPr>
              <w:pStyle w:val="TableText"/>
            </w:pPr>
          </w:p>
        </w:tc>
        <w:tc>
          <w:tcPr>
            <w:tcW w:w="6522" w:type="dxa"/>
            <w:gridSpan w:val="5"/>
          </w:tcPr>
          <w:p w14:paraId="1F6C93C6" w14:textId="77777777" w:rsidR="00865F85" w:rsidRDefault="005173AF" w:rsidP="00B2312D">
            <w:pPr>
              <w:pStyle w:val="TableBlock"/>
              <w:tabs>
                <w:tab w:val="clear" w:pos="624"/>
              </w:tabs>
            </w:pPr>
            <w:r w:rsidRPr="00865F85">
              <w:rPr>
                <w:rtl/>
              </w:rPr>
              <w:t xml:space="preserve"> "הסכם </w:t>
            </w:r>
            <w:r w:rsidRPr="00865F85">
              <w:rPr>
                <w:rFonts w:hint="cs"/>
                <w:rtl/>
              </w:rPr>
              <w:t>בין-לאומי</w:t>
            </w:r>
            <w:r w:rsidRPr="00865F85">
              <w:rPr>
                <w:rtl/>
              </w:rPr>
              <w:t>" – כהגדרתו בסעיף 214א</w:t>
            </w:r>
            <w:r w:rsidRPr="00865F85">
              <w:rPr>
                <w:rFonts w:hint="cs"/>
                <w:rtl/>
              </w:rPr>
              <w:t xml:space="preserve"> לפקודה</w:t>
            </w:r>
            <w:r>
              <w:rPr>
                <w:rFonts w:hint="cs"/>
                <w:rtl/>
              </w:rPr>
              <w:t>;</w:t>
            </w:r>
          </w:p>
        </w:tc>
      </w:tr>
      <w:tr w:rsidR="005173AF" w14:paraId="19155144" w14:textId="77777777" w:rsidTr="00865F85">
        <w:trPr>
          <w:cantSplit/>
          <w:trHeight w:val="60"/>
        </w:trPr>
        <w:tc>
          <w:tcPr>
            <w:tcW w:w="1871" w:type="dxa"/>
          </w:tcPr>
          <w:p w14:paraId="475E1E90" w14:textId="77777777" w:rsidR="005173AF" w:rsidRDefault="005173AF">
            <w:pPr>
              <w:pStyle w:val="TableSideHeading"/>
            </w:pPr>
          </w:p>
        </w:tc>
        <w:tc>
          <w:tcPr>
            <w:tcW w:w="624" w:type="dxa"/>
          </w:tcPr>
          <w:p w14:paraId="00C7532E" w14:textId="77777777" w:rsidR="005173AF" w:rsidRDefault="005173AF" w:rsidP="005173AF">
            <w:pPr>
              <w:pStyle w:val="TableText"/>
            </w:pPr>
          </w:p>
        </w:tc>
        <w:tc>
          <w:tcPr>
            <w:tcW w:w="624" w:type="dxa"/>
          </w:tcPr>
          <w:p w14:paraId="79CECF85" w14:textId="77777777" w:rsidR="005173AF" w:rsidRDefault="005173AF">
            <w:pPr>
              <w:pStyle w:val="TableText"/>
            </w:pPr>
          </w:p>
        </w:tc>
        <w:tc>
          <w:tcPr>
            <w:tcW w:w="6522" w:type="dxa"/>
            <w:gridSpan w:val="5"/>
          </w:tcPr>
          <w:p w14:paraId="0DFC09EC" w14:textId="77777777" w:rsidR="005173AF" w:rsidDel="005173AF" w:rsidRDefault="005173AF" w:rsidP="006D0DFE">
            <w:pPr>
              <w:pStyle w:val="TableBlock"/>
              <w:tabs>
                <w:tab w:val="clear" w:pos="624"/>
              </w:tabs>
              <w:rPr>
                <w:rtl/>
              </w:rPr>
            </w:pPr>
            <w:r w:rsidRPr="00865F85">
              <w:rPr>
                <w:rtl/>
              </w:rPr>
              <w:t>"הסכם רשויות מוסמכות" – הסכם בין-לאומי לחילופי המידע הנדרש</w:t>
            </w:r>
            <w:r>
              <w:rPr>
                <w:rtl/>
              </w:rPr>
              <w:t xml:space="preserve"> בסעיף 85ג לפקודה</w:t>
            </w:r>
            <w:r w:rsidR="006D0DFE" w:rsidDel="006D0DFE">
              <w:rPr>
                <w:rtl/>
              </w:rPr>
              <w:t xml:space="preserve"> </w:t>
            </w:r>
            <w:r>
              <w:rPr>
                <w:rFonts w:hint="cs"/>
                <w:rtl/>
              </w:rPr>
              <w:t>";</w:t>
            </w:r>
          </w:p>
        </w:tc>
      </w:tr>
      <w:tr w:rsidR="00865F85" w14:paraId="6CB7E46D" w14:textId="77777777">
        <w:trPr>
          <w:cantSplit/>
          <w:trHeight w:val="60"/>
        </w:trPr>
        <w:tc>
          <w:tcPr>
            <w:tcW w:w="1871" w:type="dxa"/>
          </w:tcPr>
          <w:p w14:paraId="61DB6FD3" w14:textId="77777777" w:rsidR="00865F85" w:rsidRDefault="00865F85" w:rsidP="003055DA">
            <w:pPr>
              <w:pStyle w:val="TableSideHeading"/>
              <w:keepLines w:val="0"/>
            </w:pPr>
            <w:bookmarkStart w:id="9" w:name="_Toc53333063"/>
            <w:bookmarkStart w:id="10" w:name="_Toc53333089"/>
            <w:r>
              <w:rPr>
                <w:rFonts w:hint="cs"/>
                <w:rtl/>
              </w:rPr>
              <w:t>תיקון תקנה 5</w:t>
            </w:r>
            <w:bookmarkEnd w:id="9"/>
            <w:bookmarkEnd w:id="10"/>
          </w:p>
        </w:tc>
        <w:tc>
          <w:tcPr>
            <w:tcW w:w="624" w:type="dxa"/>
          </w:tcPr>
          <w:p w14:paraId="3A5DCE7D" w14:textId="77777777" w:rsidR="00865F85" w:rsidRDefault="00865F85" w:rsidP="00865F85">
            <w:pPr>
              <w:pStyle w:val="TableText"/>
              <w:keepLines w:val="0"/>
              <w:numPr>
                <w:ilvl w:val="0"/>
                <w:numId w:val="4"/>
              </w:numPr>
            </w:pPr>
          </w:p>
        </w:tc>
        <w:tc>
          <w:tcPr>
            <w:tcW w:w="7146" w:type="dxa"/>
            <w:gridSpan w:val="6"/>
          </w:tcPr>
          <w:p w14:paraId="3BC76D46" w14:textId="77777777" w:rsidR="00865F85" w:rsidRPr="00C34DE2" w:rsidRDefault="00865F85" w:rsidP="003055DA">
            <w:pPr>
              <w:pStyle w:val="TableBlock"/>
              <w:keepLines w:val="0"/>
            </w:pPr>
            <w:r>
              <w:rPr>
                <w:rFonts w:hint="cs"/>
                <w:rtl/>
              </w:rPr>
              <w:t xml:space="preserve">בתקנה 5 לתקנות העיקריות </w:t>
            </w:r>
            <w:r>
              <w:rPr>
                <w:rtl/>
              </w:rPr>
              <w:t>–</w:t>
            </w:r>
            <w:r>
              <w:rPr>
                <w:rFonts w:hint="cs"/>
                <w:rtl/>
              </w:rPr>
              <w:t xml:space="preserve">  </w:t>
            </w:r>
          </w:p>
        </w:tc>
      </w:tr>
      <w:tr w:rsidR="00865F85" w14:paraId="3CE0C5AB" w14:textId="77777777">
        <w:trPr>
          <w:cantSplit/>
          <w:trHeight w:val="60"/>
        </w:trPr>
        <w:tc>
          <w:tcPr>
            <w:tcW w:w="1871" w:type="dxa"/>
          </w:tcPr>
          <w:p w14:paraId="65C32D2B" w14:textId="77777777" w:rsidR="00865F85" w:rsidRDefault="00865F85">
            <w:pPr>
              <w:pStyle w:val="TableSideHeading"/>
            </w:pPr>
          </w:p>
        </w:tc>
        <w:tc>
          <w:tcPr>
            <w:tcW w:w="624" w:type="dxa"/>
          </w:tcPr>
          <w:p w14:paraId="0BA8C954" w14:textId="77777777" w:rsidR="00865F85" w:rsidRDefault="00865F85">
            <w:pPr>
              <w:pStyle w:val="TableText"/>
            </w:pPr>
          </w:p>
        </w:tc>
        <w:tc>
          <w:tcPr>
            <w:tcW w:w="624" w:type="dxa"/>
          </w:tcPr>
          <w:p w14:paraId="654054E9" w14:textId="77777777" w:rsidR="00865F85" w:rsidRDefault="00865F85">
            <w:pPr>
              <w:pStyle w:val="TableText"/>
            </w:pPr>
          </w:p>
        </w:tc>
        <w:tc>
          <w:tcPr>
            <w:tcW w:w="6522" w:type="dxa"/>
            <w:gridSpan w:val="5"/>
          </w:tcPr>
          <w:p w14:paraId="70064DBA" w14:textId="77777777" w:rsidR="00865F85" w:rsidRDefault="00865F85" w:rsidP="00865F85">
            <w:pPr>
              <w:pStyle w:val="TableBlock"/>
              <w:numPr>
                <w:ilvl w:val="0"/>
                <w:numId w:val="21"/>
              </w:numPr>
              <w:tabs>
                <w:tab w:val="left" w:pos="624"/>
              </w:tabs>
            </w:pPr>
            <w:r>
              <w:rPr>
                <w:rFonts w:hint="cs"/>
                <w:rtl/>
              </w:rPr>
              <w:t>במקום הכותרת, יבוא "חובות תיעוד ודיווח במחירי העברה";</w:t>
            </w:r>
          </w:p>
        </w:tc>
      </w:tr>
      <w:tr w:rsidR="00865F85" w14:paraId="576D672A" w14:textId="77777777">
        <w:trPr>
          <w:cantSplit/>
          <w:trHeight w:val="60"/>
        </w:trPr>
        <w:tc>
          <w:tcPr>
            <w:tcW w:w="1871" w:type="dxa"/>
          </w:tcPr>
          <w:p w14:paraId="160BF695" w14:textId="77777777" w:rsidR="00865F85" w:rsidRDefault="00865F85">
            <w:pPr>
              <w:pStyle w:val="TableSideHeading"/>
            </w:pPr>
          </w:p>
        </w:tc>
        <w:tc>
          <w:tcPr>
            <w:tcW w:w="624" w:type="dxa"/>
          </w:tcPr>
          <w:p w14:paraId="63FF7437" w14:textId="77777777" w:rsidR="00865F85" w:rsidRDefault="00865F85" w:rsidP="00865F85">
            <w:pPr>
              <w:pStyle w:val="TableText"/>
            </w:pPr>
          </w:p>
        </w:tc>
        <w:tc>
          <w:tcPr>
            <w:tcW w:w="624" w:type="dxa"/>
          </w:tcPr>
          <w:p w14:paraId="5A1A43C3" w14:textId="77777777" w:rsidR="00865F85" w:rsidRDefault="00865F85">
            <w:pPr>
              <w:pStyle w:val="TableText"/>
            </w:pPr>
          </w:p>
        </w:tc>
        <w:tc>
          <w:tcPr>
            <w:tcW w:w="6522" w:type="dxa"/>
            <w:gridSpan w:val="5"/>
          </w:tcPr>
          <w:p w14:paraId="3CA66B41" w14:textId="77777777" w:rsidR="00865F85" w:rsidRDefault="00865F85" w:rsidP="00865F85">
            <w:pPr>
              <w:pStyle w:val="TableBlock"/>
              <w:numPr>
                <w:ilvl w:val="0"/>
                <w:numId w:val="21"/>
              </w:numPr>
              <w:tabs>
                <w:tab w:val="left" w:pos="624"/>
              </w:tabs>
              <w:rPr>
                <w:rtl/>
              </w:rPr>
            </w:pPr>
            <w:r>
              <w:rPr>
                <w:rFonts w:hint="cs"/>
                <w:rtl/>
              </w:rPr>
              <w:t xml:space="preserve">בתקנת משנה (א) </w:t>
            </w:r>
            <w:r>
              <w:rPr>
                <w:rtl/>
              </w:rPr>
              <w:t>–</w:t>
            </w:r>
          </w:p>
        </w:tc>
      </w:tr>
      <w:tr w:rsidR="00865F85" w14:paraId="0B7CC592" w14:textId="77777777">
        <w:trPr>
          <w:cantSplit/>
          <w:trHeight w:val="60"/>
        </w:trPr>
        <w:tc>
          <w:tcPr>
            <w:tcW w:w="1871" w:type="dxa"/>
          </w:tcPr>
          <w:p w14:paraId="1B1BAC33" w14:textId="77777777" w:rsidR="00865F85" w:rsidRDefault="00865F85">
            <w:pPr>
              <w:pStyle w:val="TableSideHeading"/>
            </w:pPr>
          </w:p>
        </w:tc>
        <w:tc>
          <w:tcPr>
            <w:tcW w:w="624" w:type="dxa"/>
          </w:tcPr>
          <w:p w14:paraId="0FA9D043" w14:textId="77777777" w:rsidR="00865F85" w:rsidRDefault="00865F85">
            <w:pPr>
              <w:pStyle w:val="TableText"/>
            </w:pPr>
          </w:p>
        </w:tc>
        <w:tc>
          <w:tcPr>
            <w:tcW w:w="624" w:type="dxa"/>
          </w:tcPr>
          <w:p w14:paraId="00A74281" w14:textId="77777777" w:rsidR="00865F85" w:rsidRDefault="00865F85">
            <w:pPr>
              <w:pStyle w:val="TableText"/>
            </w:pPr>
          </w:p>
        </w:tc>
        <w:tc>
          <w:tcPr>
            <w:tcW w:w="624" w:type="dxa"/>
          </w:tcPr>
          <w:p w14:paraId="2BAF1021" w14:textId="77777777" w:rsidR="00865F85" w:rsidRDefault="00865F85">
            <w:pPr>
              <w:pStyle w:val="TableText"/>
            </w:pPr>
          </w:p>
        </w:tc>
        <w:tc>
          <w:tcPr>
            <w:tcW w:w="5898" w:type="dxa"/>
            <w:gridSpan w:val="4"/>
          </w:tcPr>
          <w:p w14:paraId="760A7D7B" w14:textId="77777777" w:rsidR="00865F85" w:rsidRDefault="00865F85" w:rsidP="00865F85">
            <w:pPr>
              <w:pStyle w:val="TableBlock"/>
              <w:numPr>
                <w:ilvl w:val="0"/>
                <w:numId w:val="22"/>
              </w:numPr>
              <w:tabs>
                <w:tab w:val="left" w:pos="624"/>
              </w:tabs>
            </w:pPr>
            <w:r>
              <w:rPr>
                <w:rFonts w:hint="cs"/>
                <w:rtl/>
              </w:rPr>
              <w:t>במקום הרישא יבוא:</w:t>
            </w:r>
          </w:p>
        </w:tc>
      </w:tr>
      <w:tr w:rsidR="00865F85" w14:paraId="43003C7E" w14:textId="77777777">
        <w:trPr>
          <w:cantSplit/>
          <w:trHeight w:val="60"/>
        </w:trPr>
        <w:tc>
          <w:tcPr>
            <w:tcW w:w="1871" w:type="dxa"/>
          </w:tcPr>
          <w:p w14:paraId="4CB420DE" w14:textId="77777777" w:rsidR="00865F85" w:rsidRDefault="00865F85">
            <w:pPr>
              <w:pStyle w:val="TableSideHeading"/>
            </w:pPr>
          </w:p>
        </w:tc>
        <w:tc>
          <w:tcPr>
            <w:tcW w:w="624" w:type="dxa"/>
          </w:tcPr>
          <w:p w14:paraId="355DD2A5" w14:textId="77777777" w:rsidR="00865F85" w:rsidRDefault="00865F85">
            <w:pPr>
              <w:pStyle w:val="TableText"/>
            </w:pPr>
          </w:p>
        </w:tc>
        <w:tc>
          <w:tcPr>
            <w:tcW w:w="624" w:type="dxa"/>
          </w:tcPr>
          <w:p w14:paraId="6B66D04A" w14:textId="77777777" w:rsidR="00865F85" w:rsidRDefault="00865F85">
            <w:pPr>
              <w:pStyle w:val="TableText"/>
            </w:pPr>
          </w:p>
        </w:tc>
        <w:tc>
          <w:tcPr>
            <w:tcW w:w="624" w:type="dxa"/>
          </w:tcPr>
          <w:p w14:paraId="6251AA9B" w14:textId="77777777" w:rsidR="00865F85" w:rsidRDefault="00865F85">
            <w:pPr>
              <w:pStyle w:val="TableText"/>
            </w:pPr>
          </w:p>
        </w:tc>
        <w:tc>
          <w:tcPr>
            <w:tcW w:w="624" w:type="dxa"/>
          </w:tcPr>
          <w:p w14:paraId="720AE2BC" w14:textId="77777777" w:rsidR="00865F85" w:rsidRDefault="00865F85">
            <w:pPr>
              <w:pStyle w:val="TableText"/>
            </w:pPr>
          </w:p>
        </w:tc>
        <w:tc>
          <w:tcPr>
            <w:tcW w:w="5274" w:type="dxa"/>
            <w:gridSpan w:val="3"/>
          </w:tcPr>
          <w:p w14:paraId="26A92BC0" w14:textId="77777777" w:rsidR="00865F85" w:rsidRDefault="00D60071">
            <w:pPr>
              <w:pStyle w:val="TableBlock"/>
            </w:pPr>
            <w:r>
              <w:rPr>
                <w:rFonts w:hint="cs"/>
                <w:rtl/>
              </w:rPr>
              <w:t>"</w:t>
            </w:r>
            <w:r w:rsidRPr="00F167D3">
              <w:rPr>
                <w:rtl/>
                <w:lang w:eastAsia="he-IL"/>
              </w:rPr>
              <w:t xml:space="preserve">נישום </w:t>
            </w:r>
            <w:r>
              <w:rPr>
                <w:rFonts w:hint="cs"/>
                <w:rtl/>
                <w:lang w:eastAsia="he-IL"/>
              </w:rPr>
              <w:t xml:space="preserve">כאמור בסעיף 85ב(ב) </w:t>
            </w:r>
            <w:r w:rsidR="00B85C20">
              <w:rPr>
                <w:rFonts w:hint="cs"/>
                <w:rtl/>
                <w:lang w:eastAsia="he-IL"/>
              </w:rPr>
              <w:t xml:space="preserve">לפקודה </w:t>
            </w:r>
            <w:r w:rsidRPr="00F167D3">
              <w:rPr>
                <w:rFonts w:hint="cs"/>
                <w:rtl/>
                <w:lang w:eastAsia="he-IL"/>
              </w:rPr>
              <w:t xml:space="preserve">ירשום ויתעד בדו"ח את הנתונים </w:t>
            </w:r>
            <w:r>
              <w:rPr>
                <w:rFonts w:hint="cs"/>
                <w:rtl/>
                <w:lang w:eastAsia="he-IL"/>
              </w:rPr>
              <w:t>שלהלן לגביו ולגבי כל עסקה בין לאומית שביצע</w:t>
            </w:r>
            <w:r w:rsidRPr="00F167D3">
              <w:rPr>
                <w:rFonts w:hint="cs"/>
                <w:rtl/>
                <w:lang w:eastAsia="he-IL"/>
              </w:rPr>
              <w:t>, עד המועד הקבוע בסעיף 132</w:t>
            </w:r>
            <w:r>
              <w:rPr>
                <w:rFonts w:hint="cs"/>
                <w:rtl/>
                <w:lang w:eastAsia="he-IL"/>
              </w:rPr>
              <w:t xml:space="preserve"> לפקודה</w:t>
            </w:r>
            <w:r w:rsidRPr="00F167D3">
              <w:rPr>
                <w:rFonts w:hint="cs"/>
                <w:rtl/>
                <w:lang w:eastAsia="he-IL"/>
              </w:rPr>
              <w:t xml:space="preserve"> להגשת דו"ח לפי סעיף 131</w:t>
            </w:r>
            <w:r>
              <w:rPr>
                <w:rFonts w:hint="cs"/>
                <w:rtl/>
                <w:lang w:eastAsia="he-IL"/>
              </w:rPr>
              <w:t xml:space="preserve"> לפקודה</w:t>
            </w:r>
            <w:r w:rsidRPr="00F167D3">
              <w:rPr>
                <w:rFonts w:hint="cs"/>
                <w:rtl/>
                <w:lang w:eastAsia="he-IL"/>
              </w:rPr>
              <w:t>, ויגישו</w:t>
            </w:r>
            <w:r w:rsidRPr="00F167D3">
              <w:rPr>
                <w:rtl/>
                <w:lang w:eastAsia="he-IL"/>
              </w:rPr>
              <w:t xml:space="preserve"> לפקיד השומה </w:t>
            </w:r>
            <w:r w:rsidRPr="00F167D3">
              <w:rPr>
                <w:rFonts w:hint="cs"/>
                <w:rtl/>
                <w:lang w:eastAsia="he-IL"/>
              </w:rPr>
              <w:t>לפי דרישתו</w:t>
            </w:r>
            <w:r>
              <w:rPr>
                <w:rFonts w:hint="cs"/>
                <w:rtl/>
                <w:lang w:eastAsia="he-IL"/>
              </w:rPr>
              <w:t>";</w:t>
            </w:r>
          </w:p>
        </w:tc>
      </w:tr>
      <w:tr w:rsidR="00D60071" w14:paraId="4F2E20F2" w14:textId="77777777">
        <w:trPr>
          <w:cantSplit/>
          <w:trHeight w:val="60"/>
        </w:trPr>
        <w:tc>
          <w:tcPr>
            <w:tcW w:w="1871" w:type="dxa"/>
          </w:tcPr>
          <w:p w14:paraId="7B1D7C25" w14:textId="77777777" w:rsidR="00D60071" w:rsidRDefault="00D60071">
            <w:pPr>
              <w:pStyle w:val="TableSideHeading"/>
            </w:pPr>
          </w:p>
        </w:tc>
        <w:tc>
          <w:tcPr>
            <w:tcW w:w="624" w:type="dxa"/>
          </w:tcPr>
          <w:p w14:paraId="3530977F" w14:textId="77777777" w:rsidR="00D60071" w:rsidRDefault="00D60071">
            <w:pPr>
              <w:pStyle w:val="TableText"/>
            </w:pPr>
          </w:p>
        </w:tc>
        <w:tc>
          <w:tcPr>
            <w:tcW w:w="624" w:type="dxa"/>
          </w:tcPr>
          <w:p w14:paraId="2430A6F3" w14:textId="77777777" w:rsidR="00D60071" w:rsidRDefault="00D60071">
            <w:pPr>
              <w:pStyle w:val="TableText"/>
            </w:pPr>
          </w:p>
        </w:tc>
        <w:tc>
          <w:tcPr>
            <w:tcW w:w="624" w:type="dxa"/>
          </w:tcPr>
          <w:p w14:paraId="79817A83" w14:textId="77777777" w:rsidR="00D60071" w:rsidRDefault="00D60071">
            <w:pPr>
              <w:pStyle w:val="TableText"/>
            </w:pPr>
          </w:p>
        </w:tc>
        <w:tc>
          <w:tcPr>
            <w:tcW w:w="5898" w:type="dxa"/>
            <w:gridSpan w:val="4"/>
          </w:tcPr>
          <w:p w14:paraId="7745E34E" w14:textId="77777777" w:rsidR="00D60071" w:rsidRDefault="00D60071" w:rsidP="00D60071">
            <w:pPr>
              <w:pStyle w:val="TableBlock"/>
              <w:numPr>
                <w:ilvl w:val="0"/>
                <w:numId w:val="22"/>
              </w:numPr>
              <w:tabs>
                <w:tab w:val="left" w:pos="624"/>
              </w:tabs>
            </w:pPr>
            <w:r w:rsidRPr="00B16BB5">
              <w:rPr>
                <w:rFonts w:hint="cs"/>
                <w:rtl/>
              </w:rPr>
              <w:t xml:space="preserve">אחרי </w:t>
            </w:r>
            <w:r>
              <w:rPr>
                <w:rFonts w:hint="cs"/>
                <w:rtl/>
              </w:rPr>
              <w:t>פסקה (1)</w:t>
            </w:r>
            <w:r w:rsidRPr="00B16BB5">
              <w:rPr>
                <w:rFonts w:hint="cs"/>
                <w:rtl/>
              </w:rPr>
              <w:t xml:space="preserve"> </w:t>
            </w:r>
            <w:r>
              <w:rPr>
                <w:rFonts w:hint="cs"/>
                <w:rtl/>
              </w:rPr>
              <w:t>יבוא</w:t>
            </w:r>
            <w:r w:rsidRPr="00B16BB5">
              <w:rPr>
                <w:rFonts w:hint="cs"/>
                <w:rtl/>
              </w:rPr>
              <w:t>:</w:t>
            </w:r>
          </w:p>
        </w:tc>
      </w:tr>
      <w:tr w:rsidR="00D60071" w14:paraId="239E50A6" w14:textId="77777777">
        <w:trPr>
          <w:cantSplit/>
          <w:trHeight w:val="60"/>
        </w:trPr>
        <w:tc>
          <w:tcPr>
            <w:tcW w:w="1871" w:type="dxa"/>
          </w:tcPr>
          <w:p w14:paraId="37B2B643" w14:textId="77777777" w:rsidR="00D60071" w:rsidRDefault="00D60071">
            <w:pPr>
              <w:pStyle w:val="TableSideHeading"/>
            </w:pPr>
          </w:p>
        </w:tc>
        <w:tc>
          <w:tcPr>
            <w:tcW w:w="624" w:type="dxa"/>
          </w:tcPr>
          <w:p w14:paraId="5E06F3B7" w14:textId="77777777" w:rsidR="00D60071" w:rsidRDefault="00D60071">
            <w:pPr>
              <w:pStyle w:val="TableText"/>
            </w:pPr>
          </w:p>
        </w:tc>
        <w:tc>
          <w:tcPr>
            <w:tcW w:w="624" w:type="dxa"/>
          </w:tcPr>
          <w:p w14:paraId="4BC0A958" w14:textId="77777777" w:rsidR="00D60071" w:rsidRDefault="00D60071">
            <w:pPr>
              <w:pStyle w:val="TableText"/>
            </w:pPr>
          </w:p>
        </w:tc>
        <w:tc>
          <w:tcPr>
            <w:tcW w:w="624" w:type="dxa"/>
          </w:tcPr>
          <w:p w14:paraId="392D6418" w14:textId="77777777" w:rsidR="00D60071" w:rsidRDefault="00D60071">
            <w:pPr>
              <w:pStyle w:val="TableText"/>
            </w:pPr>
          </w:p>
        </w:tc>
        <w:tc>
          <w:tcPr>
            <w:tcW w:w="624" w:type="dxa"/>
          </w:tcPr>
          <w:p w14:paraId="1D65BF5E" w14:textId="77777777" w:rsidR="00D60071" w:rsidRDefault="00D60071">
            <w:pPr>
              <w:pStyle w:val="TableText"/>
            </w:pPr>
          </w:p>
        </w:tc>
        <w:tc>
          <w:tcPr>
            <w:tcW w:w="5274" w:type="dxa"/>
            <w:gridSpan w:val="3"/>
          </w:tcPr>
          <w:p w14:paraId="636B3A09" w14:textId="77777777" w:rsidR="00D60071" w:rsidRDefault="00D60071">
            <w:pPr>
              <w:pStyle w:val="TableBlock"/>
            </w:pPr>
            <w:r>
              <w:rPr>
                <w:rFonts w:hint="cs"/>
                <w:rtl/>
              </w:rPr>
              <w:t xml:space="preserve">"(1א) </w:t>
            </w:r>
            <w:r w:rsidRPr="00B16BB5">
              <w:rPr>
                <w:rFonts w:hint="cs"/>
                <w:rtl/>
              </w:rPr>
              <w:t xml:space="preserve">תיאור המבנה </w:t>
            </w:r>
            <w:r>
              <w:rPr>
                <w:rFonts w:hint="cs"/>
                <w:rtl/>
              </w:rPr>
              <w:t>הארגוני</w:t>
            </w:r>
            <w:r w:rsidRPr="00B16BB5">
              <w:rPr>
                <w:rFonts w:hint="cs"/>
                <w:rtl/>
              </w:rPr>
              <w:t xml:space="preserve"> של הנישום, </w:t>
            </w:r>
            <w:r>
              <w:rPr>
                <w:rFonts w:hint="cs"/>
                <w:rtl/>
              </w:rPr>
              <w:t>הכולל חלוקה לתחומי פעילות מהותיים,</w:t>
            </w:r>
            <w:r w:rsidRPr="00B16BB5">
              <w:rPr>
                <w:rFonts w:hint="cs"/>
                <w:rtl/>
              </w:rPr>
              <w:t xml:space="preserve"> </w:t>
            </w:r>
            <w:r>
              <w:rPr>
                <w:rFonts w:hint="cs"/>
                <w:rtl/>
              </w:rPr>
              <w:t>ו</w:t>
            </w:r>
            <w:r w:rsidRPr="00B16BB5">
              <w:rPr>
                <w:rFonts w:hint="cs"/>
                <w:rtl/>
              </w:rPr>
              <w:t xml:space="preserve">הסבר מפורט לגבי </w:t>
            </w:r>
            <w:r>
              <w:rPr>
                <w:rFonts w:hint="cs"/>
                <w:rtl/>
              </w:rPr>
              <w:t>בעלי התפקיד</w:t>
            </w:r>
            <w:r w:rsidRPr="00B16BB5">
              <w:rPr>
                <w:rFonts w:hint="cs"/>
                <w:rtl/>
              </w:rPr>
              <w:t xml:space="preserve"> בקבוצה הרב לאומית אליהם </w:t>
            </w:r>
            <w:r>
              <w:rPr>
                <w:rFonts w:hint="cs"/>
                <w:rtl/>
              </w:rPr>
              <w:t>כפוף הנישום, לרבות</w:t>
            </w:r>
            <w:r w:rsidRPr="00B16BB5">
              <w:rPr>
                <w:rFonts w:hint="cs"/>
                <w:rtl/>
              </w:rPr>
              <w:t xml:space="preserve"> פירוט שמ</w:t>
            </w:r>
            <w:r>
              <w:rPr>
                <w:rFonts w:hint="cs"/>
                <w:rtl/>
              </w:rPr>
              <w:t>ם</w:t>
            </w:r>
            <w:r w:rsidRPr="00B16BB5">
              <w:rPr>
                <w:rFonts w:hint="cs"/>
                <w:rtl/>
              </w:rPr>
              <w:t>, תפקידם ו</w:t>
            </w:r>
            <w:r>
              <w:rPr>
                <w:rFonts w:hint="cs"/>
                <w:rtl/>
              </w:rPr>
              <w:t>ה</w:t>
            </w:r>
            <w:r w:rsidRPr="00B16BB5">
              <w:rPr>
                <w:rFonts w:hint="cs"/>
                <w:rtl/>
              </w:rPr>
              <w:t xml:space="preserve">מיקום </w:t>
            </w:r>
            <w:r>
              <w:rPr>
                <w:rFonts w:hint="cs"/>
                <w:rtl/>
              </w:rPr>
              <w:t>ה</w:t>
            </w:r>
            <w:r w:rsidRPr="00B16BB5">
              <w:rPr>
                <w:rFonts w:hint="cs"/>
                <w:rtl/>
              </w:rPr>
              <w:t>גיאוגרפי של משרדם."</w:t>
            </w:r>
          </w:p>
        </w:tc>
      </w:tr>
      <w:tr w:rsidR="00D60071" w14:paraId="0078FFA4" w14:textId="77777777">
        <w:trPr>
          <w:cantSplit/>
          <w:trHeight w:val="60"/>
        </w:trPr>
        <w:tc>
          <w:tcPr>
            <w:tcW w:w="1871" w:type="dxa"/>
          </w:tcPr>
          <w:p w14:paraId="0B88C0EE" w14:textId="77777777" w:rsidR="00D60071" w:rsidRDefault="00D60071">
            <w:pPr>
              <w:pStyle w:val="TableSideHeading"/>
            </w:pPr>
          </w:p>
        </w:tc>
        <w:tc>
          <w:tcPr>
            <w:tcW w:w="624" w:type="dxa"/>
          </w:tcPr>
          <w:p w14:paraId="185E2F06" w14:textId="77777777" w:rsidR="00D60071" w:rsidRDefault="00D60071">
            <w:pPr>
              <w:pStyle w:val="TableText"/>
            </w:pPr>
          </w:p>
        </w:tc>
        <w:tc>
          <w:tcPr>
            <w:tcW w:w="624" w:type="dxa"/>
          </w:tcPr>
          <w:p w14:paraId="703EB45F" w14:textId="77777777" w:rsidR="00D60071" w:rsidRDefault="00D60071">
            <w:pPr>
              <w:pStyle w:val="TableText"/>
            </w:pPr>
          </w:p>
        </w:tc>
        <w:tc>
          <w:tcPr>
            <w:tcW w:w="624" w:type="dxa"/>
          </w:tcPr>
          <w:p w14:paraId="309A8D62" w14:textId="77777777" w:rsidR="00D60071" w:rsidRDefault="00D60071">
            <w:pPr>
              <w:pStyle w:val="TableText"/>
            </w:pPr>
          </w:p>
        </w:tc>
        <w:tc>
          <w:tcPr>
            <w:tcW w:w="5898" w:type="dxa"/>
            <w:gridSpan w:val="4"/>
          </w:tcPr>
          <w:p w14:paraId="342EBF98" w14:textId="77777777" w:rsidR="00D60071" w:rsidRDefault="00D60071" w:rsidP="00D60071">
            <w:pPr>
              <w:pStyle w:val="TableBlock"/>
              <w:numPr>
                <w:ilvl w:val="0"/>
                <w:numId w:val="22"/>
              </w:numPr>
              <w:tabs>
                <w:tab w:val="left" w:pos="624"/>
              </w:tabs>
            </w:pPr>
            <w:r>
              <w:rPr>
                <w:rFonts w:hint="cs"/>
                <w:rtl/>
              </w:rPr>
              <w:t>במקום</w:t>
            </w:r>
            <w:r w:rsidRPr="00B16BB5">
              <w:rPr>
                <w:rFonts w:hint="cs"/>
                <w:rtl/>
              </w:rPr>
              <w:t xml:space="preserve"> </w:t>
            </w:r>
            <w:r>
              <w:rPr>
                <w:rFonts w:hint="cs"/>
                <w:rtl/>
              </w:rPr>
              <w:t>פסקה</w:t>
            </w:r>
            <w:r w:rsidRPr="00B16BB5">
              <w:rPr>
                <w:rFonts w:hint="cs"/>
                <w:rtl/>
              </w:rPr>
              <w:t xml:space="preserve"> </w:t>
            </w:r>
            <w:r>
              <w:rPr>
                <w:rFonts w:hint="cs"/>
                <w:rtl/>
              </w:rPr>
              <w:t>(4)</w:t>
            </w:r>
            <w:r w:rsidRPr="00B16BB5">
              <w:rPr>
                <w:rFonts w:hint="cs"/>
                <w:rtl/>
              </w:rPr>
              <w:t xml:space="preserve"> </w:t>
            </w:r>
            <w:r>
              <w:rPr>
                <w:rFonts w:hint="cs"/>
                <w:rtl/>
              </w:rPr>
              <w:t>יבוא</w:t>
            </w:r>
            <w:r w:rsidRPr="00B16BB5">
              <w:rPr>
                <w:rFonts w:hint="cs"/>
                <w:rtl/>
              </w:rPr>
              <w:t>:</w:t>
            </w:r>
          </w:p>
        </w:tc>
      </w:tr>
      <w:tr w:rsidR="00D60071" w14:paraId="5ABAA11C" w14:textId="77777777">
        <w:trPr>
          <w:cantSplit/>
          <w:trHeight w:val="60"/>
        </w:trPr>
        <w:tc>
          <w:tcPr>
            <w:tcW w:w="1871" w:type="dxa"/>
          </w:tcPr>
          <w:p w14:paraId="3CF3ECC0" w14:textId="77777777" w:rsidR="00D60071" w:rsidRDefault="00D60071">
            <w:pPr>
              <w:pStyle w:val="TableSideHeading"/>
            </w:pPr>
          </w:p>
        </w:tc>
        <w:tc>
          <w:tcPr>
            <w:tcW w:w="624" w:type="dxa"/>
          </w:tcPr>
          <w:p w14:paraId="74CE681A" w14:textId="77777777" w:rsidR="00D60071" w:rsidRDefault="00D60071">
            <w:pPr>
              <w:pStyle w:val="TableText"/>
            </w:pPr>
          </w:p>
        </w:tc>
        <w:tc>
          <w:tcPr>
            <w:tcW w:w="624" w:type="dxa"/>
          </w:tcPr>
          <w:p w14:paraId="2D7C9765" w14:textId="77777777" w:rsidR="00D60071" w:rsidRDefault="00D60071">
            <w:pPr>
              <w:pStyle w:val="TableText"/>
            </w:pPr>
          </w:p>
        </w:tc>
        <w:tc>
          <w:tcPr>
            <w:tcW w:w="624" w:type="dxa"/>
          </w:tcPr>
          <w:p w14:paraId="1FC8D18A" w14:textId="77777777" w:rsidR="00D60071" w:rsidRDefault="00D60071">
            <w:pPr>
              <w:pStyle w:val="TableText"/>
            </w:pPr>
          </w:p>
        </w:tc>
        <w:tc>
          <w:tcPr>
            <w:tcW w:w="624" w:type="dxa"/>
          </w:tcPr>
          <w:p w14:paraId="761B586C" w14:textId="77777777" w:rsidR="00D60071" w:rsidRDefault="00D60071">
            <w:pPr>
              <w:pStyle w:val="TableText"/>
            </w:pPr>
          </w:p>
        </w:tc>
        <w:tc>
          <w:tcPr>
            <w:tcW w:w="5274" w:type="dxa"/>
            <w:gridSpan w:val="3"/>
          </w:tcPr>
          <w:p w14:paraId="121C1768" w14:textId="77777777" w:rsidR="00D60071" w:rsidRDefault="00D60071">
            <w:pPr>
              <w:pStyle w:val="TableBlock"/>
            </w:pPr>
            <w:r>
              <w:rPr>
                <w:rFonts w:hint="cs"/>
                <w:rtl/>
              </w:rPr>
              <w:t xml:space="preserve">"(4) </w:t>
            </w:r>
            <w:r w:rsidRPr="009D5B66">
              <w:rPr>
                <w:rtl/>
              </w:rPr>
              <w:t>ת</w:t>
            </w:r>
            <w:r>
              <w:rPr>
                <w:rFonts w:hint="cs"/>
                <w:rtl/>
              </w:rPr>
              <w:t>י</w:t>
            </w:r>
            <w:r w:rsidRPr="009D5B66">
              <w:rPr>
                <w:rtl/>
              </w:rPr>
              <w:t>אור מפורט של תחום הפעיל</w:t>
            </w:r>
            <w:r>
              <w:rPr>
                <w:rtl/>
              </w:rPr>
              <w:t>ות של הנישום וההתפתחויות בו בשנ</w:t>
            </w:r>
            <w:r>
              <w:rPr>
                <w:rFonts w:hint="cs"/>
                <w:rtl/>
              </w:rPr>
              <w:t>ת המס</w:t>
            </w:r>
            <w:r w:rsidRPr="009D5B66">
              <w:rPr>
                <w:rtl/>
              </w:rPr>
              <w:t xml:space="preserve">, לרבות שינויים או צפי לשינויים במבנה הבעלות והשליטה בנישום, במבנה הבעלות והשליטה של הנישום </w:t>
            </w:r>
            <w:r w:rsidRPr="00774B64">
              <w:rPr>
                <w:rtl/>
              </w:rPr>
              <w:t>ב</w:t>
            </w:r>
            <w:r>
              <w:rPr>
                <w:rFonts w:hint="cs"/>
                <w:rtl/>
              </w:rPr>
              <w:t>ישויות</w:t>
            </w:r>
            <w:r w:rsidRPr="009D5B66">
              <w:rPr>
                <w:rtl/>
              </w:rPr>
              <w:t xml:space="preserve"> אחרות והעברת </w:t>
            </w:r>
            <w:r w:rsidR="006D18D5">
              <w:rPr>
                <w:rFonts w:hint="cs"/>
                <w:rtl/>
              </w:rPr>
              <w:t xml:space="preserve">נכסים </w:t>
            </w:r>
            <w:r w:rsidRPr="009D5B66">
              <w:rPr>
                <w:rtl/>
              </w:rPr>
              <w:t xml:space="preserve">בלתי </w:t>
            </w:r>
            <w:r>
              <w:rPr>
                <w:rtl/>
              </w:rPr>
              <w:t>מוחשיים לנישום או על ידי הנישום</w:t>
            </w:r>
            <w:r>
              <w:rPr>
                <w:rFonts w:hint="cs"/>
                <w:rtl/>
              </w:rPr>
              <w:t>";</w:t>
            </w:r>
          </w:p>
        </w:tc>
      </w:tr>
      <w:tr w:rsidR="00D60071" w14:paraId="6A652C34" w14:textId="77777777">
        <w:trPr>
          <w:cantSplit/>
          <w:trHeight w:val="60"/>
        </w:trPr>
        <w:tc>
          <w:tcPr>
            <w:tcW w:w="1871" w:type="dxa"/>
          </w:tcPr>
          <w:p w14:paraId="44C38F15" w14:textId="77777777" w:rsidR="00D60071" w:rsidRDefault="00D60071">
            <w:pPr>
              <w:pStyle w:val="TableSideHeading"/>
            </w:pPr>
          </w:p>
        </w:tc>
        <w:tc>
          <w:tcPr>
            <w:tcW w:w="624" w:type="dxa"/>
          </w:tcPr>
          <w:p w14:paraId="1D54DF4A" w14:textId="77777777" w:rsidR="00D60071" w:rsidRDefault="00D60071" w:rsidP="00D60071">
            <w:pPr>
              <w:pStyle w:val="TableText"/>
            </w:pPr>
          </w:p>
        </w:tc>
        <w:tc>
          <w:tcPr>
            <w:tcW w:w="624" w:type="dxa"/>
          </w:tcPr>
          <w:p w14:paraId="5C06D85F" w14:textId="77777777" w:rsidR="00D60071" w:rsidRDefault="00D60071">
            <w:pPr>
              <w:pStyle w:val="TableText"/>
            </w:pPr>
          </w:p>
        </w:tc>
        <w:tc>
          <w:tcPr>
            <w:tcW w:w="624" w:type="dxa"/>
          </w:tcPr>
          <w:p w14:paraId="0DA7A116" w14:textId="77777777" w:rsidR="00D60071" w:rsidRDefault="00D60071">
            <w:pPr>
              <w:pStyle w:val="TableText"/>
            </w:pPr>
          </w:p>
        </w:tc>
        <w:tc>
          <w:tcPr>
            <w:tcW w:w="5898" w:type="dxa"/>
            <w:gridSpan w:val="4"/>
          </w:tcPr>
          <w:p w14:paraId="72DB8408" w14:textId="77777777" w:rsidR="00D60071" w:rsidRDefault="00D60071" w:rsidP="00D60071">
            <w:pPr>
              <w:pStyle w:val="TableBlock"/>
              <w:numPr>
                <w:ilvl w:val="0"/>
                <w:numId w:val="22"/>
              </w:numPr>
              <w:tabs>
                <w:tab w:val="left" w:pos="624"/>
              </w:tabs>
              <w:rPr>
                <w:rtl/>
              </w:rPr>
            </w:pPr>
            <w:r>
              <w:rPr>
                <w:rFonts w:hint="cs"/>
                <w:rtl/>
              </w:rPr>
              <w:t>אחרי פסקה (5)</w:t>
            </w:r>
            <w:r w:rsidRPr="00B16BB5">
              <w:rPr>
                <w:rFonts w:hint="cs"/>
                <w:rtl/>
              </w:rPr>
              <w:t xml:space="preserve"> </w:t>
            </w:r>
            <w:r>
              <w:rPr>
                <w:rFonts w:hint="cs"/>
                <w:rtl/>
              </w:rPr>
              <w:t>יבוא:</w:t>
            </w:r>
          </w:p>
        </w:tc>
      </w:tr>
      <w:tr w:rsidR="00D60071" w14:paraId="408CB5A1" w14:textId="77777777">
        <w:trPr>
          <w:cantSplit/>
          <w:trHeight w:val="60"/>
        </w:trPr>
        <w:tc>
          <w:tcPr>
            <w:tcW w:w="1871" w:type="dxa"/>
          </w:tcPr>
          <w:p w14:paraId="465DA620" w14:textId="77777777" w:rsidR="00D60071" w:rsidRDefault="00D60071" w:rsidP="00D60071">
            <w:pPr>
              <w:pStyle w:val="TableSideHeading"/>
            </w:pPr>
          </w:p>
        </w:tc>
        <w:tc>
          <w:tcPr>
            <w:tcW w:w="624" w:type="dxa"/>
          </w:tcPr>
          <w:p w14:paraId="11BAEE4C" w14:textId="77777777" w:rsidR="00D60071" w:rsidRDefault="00D60071" w:rsidP="00D60071">
            <w:pPr>
              <w:pStyle w:val="TableText"/>
            </w:pPr>
          </w:p>
        </w:tc>
        <w:tc>
          <w:tcPr>
            <w:tcW w:w="624" w:type="dxa"/>
          </w:tcPr>
          <w:p w14:paraId="4B5496D3" w14:textId="77777777" w:rsidR="00D60071" w:rsidRDefault="00D60071" w:rsidP="00D60071">
            <w:pPr>
              <w:pStyle w:val="TableText"/>
            </w:pPr>
          </w:p>
        </w:tc>
        <w:tc>
          <w:tcPr>
            <w:tcW w:w="624" w:type="dxa"/>
          </w:tcPr>
          <w:p w14:paraId="072B05DB" w14:textId="77777777" w:rsidR="00D60071" w:rsidRDefault="00D60071" w:rsidP="00D60071">
            <w:pPr>
              <w:pStyle w:val="TableText"/>
            </w:pPr>
          </w:p>
        </w:tc>
        <w:tc>
          <w:tcPr>
            <w:tcW w:w="624" w:type="dxa"/>
          </w:tcPr>
          <w:p w14:paraId="188C56F0" w14:textId="77777777" w:rsidR="00D60071" w:rsidRDefault="00D60071" w:rsidP="00D60071">
            <w:pPr>
              <w:pStyle w:val="TableText"/>
            </w:pPr>
          </w:p>
        </w:tc>
        <w:tc>
          <w:tcPr>
            <w:tcW w:w="5274" w:type="dxa"/>
            <w:gridSpan w:val="3"/>
          </w:tcPr>
          <w:p w14:paraId="5AEFE763" w14:textId="77777777" w:rsidR="00D60071" w:rsidRPr="00B16BB5" w:rsidRDefault="00D60071" w:rsidP="00D60071">
            <w:pPr>
              <w:pStyle w:val="TableBlock"/>
              <w:rPr>
                <w:rtl/>
              </w:rPr>
            </w:pPr>
            <w:r>
              <w:rPr>
                <w:rFonts w:hint="cs"/>
                <w:rtl/>
              </w:rPr>
              <w:t>"(5א) רשימת מתחרים עיקריים של הנישום";</w:t>
            </w:r>
          </w:p>
        </w:tc>
      </w:tr>
      <w:tr w:rsidR="00D60071" w14:paraId="6EAC8DDC" w14:textId="77777777">
        <w:trPr>
          <w:cantSplit/>
          <w:trHeight w:val="60"/>
        </w:trPr>
        <w:tc>
          <w:tcPr>
            <w:tcW w:w="1871" w:type="dxa"/>
          </w:tcPr>
          <w:p w14:paraId="7120B435" w14:textId="77777777" w:rsidR="00D60071" w:rsidRDefault="00D60071" w:rsidP="00D60071">
            <w:pPr>
              <w:pStyle w:val="TableSideHeading"/>
            </w:pPr>
          </w:p>
        </w:tc>
        <w:tc>
          <w:tcPr>
            <w:tcW w:w="624" w:type="dxa"/>
          </w:tcPr>
          <w:p w14:paraId="0EAE437A" w14:textId="77777777" w:rsidR="00D60071" w:rsidRDefault="00D60071" w:rsidP="00D60071">
            <w:pPr>
              <w:pStyle w:val="TableText"/>
            </w:pPr>
          </w:p>
        </w:tc>
        <w:tc>
          <w:tcPr>
            <w:tcW w:w="624" w:type="dxa"/>
          </w:tcPr>
          <w:p w14:paraId="4E5F5A4A" w14:textId="77777777" w:rsidR="00D60071" w:rsidRDefault="00D60071" w:rsidP="00D60071">
            <w:pPr>
              <w:pStyle w:val="TableText"/>
            </w:pPr>
          </w:p>
        </w:tc>
        <w:tc>
          <w:tcPr>
            <w:tcW w:w="624" w:type="dxa"/>
          </w:tcPr>
          <w:p w14:paraId="3B17A0D9" w14:textId="77777777" w:rsidR="00D60071" w:rsidRDefault="00D60071" w:rsidP="00D60071">
            <w:pPr>
              <w:pStyle w:val="TableText"/>
            </w:pPr>
          </w:p>
        </w:tc>
        <w:tc>
          <w:tcPr>
            <w:tcW w:w="5898" w:type="dxa"/>
            <w:gridSpan w:val="4"/>
          </w:tcPr>
          <w:p w14:paraId="1482881D" w14:textId="77777777" w:rsidR="00D60071" w:rsidRDefault="00D60071" w:rsidP="00D60071">
            <w:pPr>
              <w:pStyle w:val="TableBlock"/>
              <w:numPr>
                <w:ilvl w:val="0"/>
                <w:numId w:val="22"/>
              </w:numPr>
              <w:tabs>
                <w:tab w:val="left" w:pos="624"/>
              </w:tabs>
              <w:rPr>
                <w:rtl/>
              </w:rPr>
            </w:pPr>
            <w:r>
              <w:rPr>
                <w:rFonts w:hint="cs"/>
                <w:rtl/>
              </w:rPr>
              <w:t>בסוף פסקה (7)</w:t>
            </w:r>
            <w:r w:rsidRPr="00B16BB5">
              <w:rPr>
                <w:rFonts w:hint="cs"/>
                <w:rtl/>
              </w:rPr>
              <w:t xml:space="preserve"> </w:t>
            </w:r>
            <w:r>
              <w:rPr>
                <w:rFonts w:hint="cs"/>
                <w:rtl/>
              </w:rPr>
              <w:t>יבוא "</w:t>
            </w:r>
            <w:r w:rsidRPr="00B16BB5">
              <w:rPr>
                <w:rFonts w:hint="cs"/>
                <w:rtl/>
              </w:rPr>
              <w:t>והרקע לביצוען של עסקאות אלו</w:t>
            </w:r>
            <w:r>
              <w:rPr>
                <w:rFonts w:hint="cs"/>
                <w:rtl/>
              </w:rPr>
              <w:t>";</w:t>
            </w:r>
          </w:p>
        </w:tc>
      </w:tr>
      <w:tr w:rsidR="00D60071" w14:paraId="2B65A924" w14:textId="77777777">
        <w:trPr>
          <w:cantSplit/>
          <w:trHeight w:val="60"/>
        </w:trPr>
        <w:tc>
          <w:tcPr>
            <w:tcW w:w="1871" w:type="dxa"/>
          </w:tcPr>
          <w:p w14:paraId="6CCB1C24" w14:textId="77777777" w:rsidR="00D60071" w:rsidRDefault="00D60071" w:rsidP="00D60071">
            <w:pPr>
              <w:pStyle w:val="TableSideHeading"/>
            </w:pPr>
          </w:p>
        </w:tc>
        <w:tc>
          <w:tcPr>
            <w:tcW w:w="624" w:type="dxa"/>
          </w:tcPr>
          <w:p w14:paraId="47038E95" w14:textId="77777777" w:rsidR="00D60071" w:rsidRDefault="00D60071" w:rsidP="00D60071">
            <w:pPr>
              <w:pStyle w:val="TableText"/>
            </w:pPr>
          </w:p>
        </w:tc>
        <w:tc>
          <w:tcPr>
            <w:tcW w:w="624" w:type="dxa"/>
          </w:tcPr>
          <w:p w14:paraId="6E81CD8E" w14:textId="77777777" w:rsidR="00D60071" w:rsidRDefault="00D60071" w:rsidP="00D60071">
            <w:pPr>
              <w:pStyle w:val="TableText"/>
            </w:pPr>
          </w:p>
        </w:tc>
        <w:tc>
          <w:tcPr>
            <w:tcW w:w="624" w:type="dxa"/>
          </w:tcPr>
          <w:p w14:paraId="04B7C237" w14:textId="77777777" w:rsidR="00D60071" w:rsidRDefault="00D60071" w:rsidP="00D60071">
            <w:pPr>
              <w:pStyle w:val="TableText"/>
            </w:pPr>
          </w:p>
        </w:tc>
        <w:tc>
          <w:tcPr>
            <w:tcW w:w="5898" w:type="dxa"/>
            <w:gridSpan w:val="4"/>
          </w:tcPr>
          <w:p w14:paraId="18A274C0" w14:textId="77777777" w:rsidR="00D60071" w:rsidRDefault="00D60071" w:rsidP="00D60071">
            <w:pPr>
              <w:pStyle w:val="TableBlock"/>
              <w:numPr>
                <w:ilvl w:val="0"/>
                <w:numId w:val="22"/>
              </w:numPr>
              <w:tabs>
                <w:tab w:val="left" w:pos="624"/>
              </w:tabs>
              <w:rPr>
                <w:rtl/>
              </w:rPr>
            </w:pPr>
            <w:r>
              <w:rPr>
                <w:rFonts w:hint="cs"/>
                <w:rtl/>
              </w:rPr>
              <w:t xml:space="preserve">אחרי פסקה </w:t>
            </w:r>
            <w:r w:rsidRPr="00B16BB5">
              <w:rPr>
                <w:rFonts w:hint="cs"/>
                <w:rtl/>
              </w:rPr>
              <w:t>(7)</w:t>
            </w:r>
            <w:r>
              <w:rPr>
                <w:rFonts w:hint="cs"/>
                <w:rtl/>
              </w:rPr>
              <w:t xml:space="preserve"> יבוא</w:t>
            </w:r>
            <w:r w:rsidRPr="00B16BB5">
              <w:rPr>
                <w:rFonts w:hint="cs"/>
                <w:rtl/>
              </w:rPr>
              <w:t>:</w:t>
            </w:r>
          </w:p>
        </w:tc>
      </w:tr>
      <w:tr w:rsidR="00D60071" w14:paraId="271433B8" w14:textId="77777777">
        <w:trPr>
          <w:cantSplit/>
          <w:trHeight w:val="60"/>
        </w:trPr>
        <w:tc>
          <w:tcPr>
            <w:tcW w:w="1871" w:type="dxa"/>
          </w:tcPr>
          <w:p w14:paraId="7616972D" w14:textId="77777777" w:rsidR="00D60071" w:rsidRDefault="00D60071">
            <w:pPr>
              <w:pStyle w:val="TableSideHeading"/>
            </w:pPr>
          </w:p>
        </w:tc>
        <w:tc>
          <w:tcPr>
            <w:tcW w:w="624" w:type="dxa"/>
          </w:tcPr>
          <w:p w14:paraId="5BB29607" w14:textId="77777777" w:rsidR="00D60071" w:rsidRDefault="00D60071">
            <w:pPr>
              <w:pStyle w:val="TableText"/>
            </w:pPr>
          </w:p>
        </w:tc>
        <w:tc>
          <w:tcPr>
            <w:tcW w:w="624" w:type="dxa"/>
          </w:tcPr>
          <w:p w14:paraId="6D326DF8" w14:textId="77777777" w:rsidR="00D60071" w:rsidRDefault="00D60071">
            <w:pPr>
              <w:pStyle w:val="TableText"/>
            </w:pPr>
          </w:p>
        </w:tc>
        <w:tc>
          <w:tcPr>
            <w:tcW w:w="624" w:type="dxa"/>
          </w:tcPr>
          <w:p w14:paraId="42B1C4B8" w14:textId="77777777" w:rsidR="00D60071" w:rsidRDefault="00D60071">
            <w:pPr>
              <w:pStyle w:val="TableText"/>
            </w:pPr>
          </w:p>
        </w:tc>
        <w:tc>
          <w:tcPr>
            <w:tcW w:w="624" w:type="dxa"/>
          </w:tcPr>
          <w:p w14:paraId="38D4A9FA" w14:textId="77777777" w:rsidR="00D60071" w:rsidRDefault="00D60071">
            <w:pPr>
              <w:pStyle w:val="TableText"/>
            </w:pPr>
          </w:p>
        </w:tc>
        <w:tc>
          <w:tcPr>
            <w:tcW w:w="5274" w:type="dxa"/>
            <w:gridSpan w:val="3"/>
          </w:tcPr>
          <w:p w14:paraId="51899B35" w14:textId="77777777" w:rsidR="00D60071" w:rsidRDefault="00D60071">
            <w:pPr>
              <w:pStyle w:val="TableBlock"/>
            </w:pPr>
            <w:r>
              <w:rPr>
                <w:rFonts w:hint="cs"/>
                <w:rtl/>
              </w:rPr>
              <w:t xml:space="preserve">"(7א) </w:t>
            </w:r>
            <w:r w:rsidRPr="00B16BB5">
              <w:rPr>
                <w:rFonts w:hint="cs"/>
                <w:rtl/>
              </w:rPr>
              <w:t xml:space="preserve">סכומי התשלומים והתקבולים בגין העסקאות </w:t>
            </w:r>
            <w:r>
              <w:rPr>
                <w:rFonts w:hint="cs"/>
                <w:rtl/>
              </w:rPr>
              <w:t>הבינלאומיות שפורטו בפסקה (7)";</w:t>
            </w:r>
          </w:p>
        </w:tc>
      </w:tr>
      <w:tr w:rsidR="00D60071" w14:paraId="6E2DC969" w14:textId="77777777">
        <w:trPr>
          <w:cantSplit/>
          <w:trHeight w:val="60"/>
        </w:trPr>
        <w:tc>
          <w:tcPr>
            <w:tcW w:w="1871" w:type="dxa"/>
          </w:tcPr>
          <w:p w14:paraId="4D10F029" w14:textId="77777777" w:rsidR="00D60071" w:rsidRDefault="00D60071" w:rsidP="00D60071">
            <w:pPr>
              <w:pStyle w:val="TableSideHeading"/>
            </w:pPr>
          </w:p>
        </w:tc>
        <w:tc>
          <w:tcPr>
            <w:tcW w:w="624" w:type="dxa"/>
          </w:tcPr>
          <w:p w14:paraId="1DDA3854" w14:textId="77777777" w:rsidR="00D60071" w:rsidRDefault="00D60071" w:rsidP="00D60071">
            <w:pPr>
              <w:pStyle w:val="TableText"/>
            </w:pPr>
          </w:p>
        </w:tc>
        <w:tc>
          <w:tcPr>
            <w:tcW w:w="624" w:type="dxa"/>
          </w:tcPr>
          <w:p w14:paraId="57AFA36A" w14:textId="77777777" w:rsidR="00D60071" w:rsidRDefault="00D60071" w:rsidP="00D60071">
            <w:pPr>
              <w:pStyle w:val="TableText"/>
            </w:pPr>
          </w:p>
        </w:tc>
        <w:tc>
          <w:tcPr>
            <w:tcW w:w="624" w:type="dxa"/>
          </w:tcPr>
          <w:p w14:paraId="081CFC7E" w14:textId="77777777" w:rsidR="00D60071" w:rsidRDefault="00D60071" w:rsidP="00D60071">
            <w:pPr>
              <w:pStyle w:val="TableText"/>
            </w:pPr>
          </w:p>
        </w:tc>
        <w:tc>
          <w:tcPr>
            <w:tcW w:w="5898" w:type="dxa"/>
            <w:gridSpan w:val="4"/>
          </w:tcPr>
          <w:p w14:paraId="5B0F1F3A" w14:textId="77777777" w:rsidR="00D60071" w:rsidRDefault="00D60071" w:rsidP="00D60071">
            <w:pPr>
              <w:pStyle w:val="TableBlock"/>
              <w:numPr>
                <w:ilvl w:val="0"/>
                <w:numId w:val="22"/>
              </w:numPr>
              <w:tabs>
                <w:tab w:val="left" w:pos="624"/>
              </w:tabs>
              <w:rPr>
                <w:rtl/>
              </w:rPr>
            </w:pPr>
            <w:r>
              <w:rPr>
                <w:rFonts w:hint="cs"/>
                <w:rtl/>
              </w:rPr>
              <w:t>במקום פסקה</w:t>
            </w:r>
            <w:r w:rsidRPr="00B16BB5">
              <w:rPr>
                <w:rFonts w:hint="cs"/>
                <w:rtl/>
              </w:rPr>
              <w:t xml:space="preserve"> (8) </w:t>
            </w:r>
            <w:r>
              <w:rPr>
                <w:rFonts w:hint="cs"/>
                <w:rtl/>
              </w:rPr>
              <w:t>י</w:t>
            </w:r>
            <w:r w:rsidRPr="00B16BB5">
              <w:rPr>
                <w:rFonts w:hint="cs"/>
                <w:rtl/>
              </w:rPr>
              <w:t>בוא:</w:t>
            </w:r>
          </w:p>
        </w:tc>
      </w:tr>
      <w:tr w:rsidR="00D60071" w14:paraId="4ECA1E84" w14:textId="77777777">
        <w:trPr>
          <w:cantSplit/>
          <w:trHeight w:val="60"/>
        </w:trPr>
        <w:tc>
          <w:tcPr>
            <w:tcW w:w="1871" w:type="dxa"/>
          </w:tcPr>
          <w:p w14:paraId="6D94BD13" w14:textId="77777777" w:rsidR="00D60071" w:rsidRDefault="00D60071">
            <w:pPr>
              <w:pStyle w:val="TableSideHeading"/>
            </w:pPr>
          </w:p>
        </w:tc>
        <w:tc>
          <w:tcPr>
            <w:tcW w:w="624" w:type="dxa"/>
          </w:tcPr>
          <w:p w14:paraId="7E266C86" w14:textId="77777777" w:rsidR="00D60071" w:rsidRDefault="00D60071">
            <w:pPr>
              <w:pStyle w:val="TableText"/>
            </w:pPr>
          </w:p>
        </w:tc>
        <w:tc>
          <w:tcPr>
            <w:tcW w:w="624" w:type="dxa"/>
          </w:tcPr>
          <w:p w14:paraId="231E3CCE" w14:textId="77777777" w:rsidR="00D60071" w:rsidRDefault="00D60071">
            <w:pPr>
              <w:pStyle w:val="TableText"/>
            </w:pPr>
          </w:p>
        </w:tc>
        <w:tc>
          <w:tcPr>
            <w:tcW w:w="624" w:type="dxa"/>
          </w:tcPr>
          <w:p w14:paraId="5A0F6282" w14:textId="77777777" w:rsidR="00D60071" w:rsidRDefault="00D60071">
            <w:pPr>
              <w:pStyle w:val="TableText"/>
            </w:pPr>
          </w:p>
        </w:tc>
        <w:tc>
          <w:tcPr>
            <w:tcW w:w="624" w:type="dxa"/>
          </w:tcPr>
          <w:p w14:paraId="1B42ED7F" w14:textId="77777777" w:rsidR="00D60071" w:rsidRDefault="00D60071">
            <w:pPr>
              <w:pStyle w:val="TableText"/>
            </w:pPr>
          </w:p>
        </w:tc>
        <w:tc>
          <w:tcPr>
            <w:tcW w:w="5274" w:type="dxa"/>
            <w:gridSpan w:val="3"/>
          </w:tcPr>
          <w:p w14:paraId="719DD390" w14:textId="77777777" w:rsidR="00D60071" w:rsidRDefault="00D60071">
            <w:pPr>
              <w:pStyle w:val="TableBlock"/>
            </w:pPr>
            <w:r>
              <w:rPr>
                <w:rFonts w:hint="cs"/>
                <w:rtl/>
              </w:rPr>
              <w:t>"</w:t>
            </w:r>
            <w:r w:rsidRPr="00B16BB5">
              <w:rPr>
                <w:rFonts w:hint="cs"/>
                <w:rtl/>
              </w:rPr>
              <w:t xml:space="preserve">(8) </w:t>
            </w:r>
            <w:r>
              <w:rPr>
                <w:rFonts w:hint="cs"/>
                <w:rtl/>
              </w:rPr>
              <w:t>חקר</w:t>
            </w:r>
            <w:r w:rsidRPr="00B16BB5">
              <w:rPr>
                <w:rFonts w:hint="cs"/>
                <w:rtl/>
              </w:rPr>
              <w:t xml:space="preserve"> תנאי השוק ב</w:t>
            </w:r>
            <w:r>
              <w:rPr>
                <w:rFonts w:hint="cs"/>
                <w:rtl/>
              </w:rPr>
              <w:t>של כל עסקה בינלאומית, הכולל את כל אלה:</w:t>
            </w:r>
          </w:p>
        </w:tc>
      </w:tr>
      <w:tr w:rsidR="00D60071" w14:paraId="75E62EAD" w14:textId="77777777">
        <w:trPr>
          <w:cantSplit/>
          <w:trHeight w:val="60"/>
        </w:trPr>
        <w:tc>
          <w:tcPr>
            <w:tcW w:w="1871" w:type="dxa"/>
          </w:tcPr>
          <w:p w14:paraId="3B019AAD" w14:textId="77777777" w:rsidR="00D60071" w:rsidRDefault="00D60071">
            <w:pPr>
              <w:pStyle w:val="TableSideHeading"/>
            </w:pPr>
          </w:p>
        </w:tc>
        <w:tc>
          <w:tcPr>
            <w:tcW w:w="624" w:type="dxa"/>
          </w:tcPr>
          <w:p w14:paraId="4797A7D4" w14:textId="77777777" w:rsidR="00D60071" w:rsidRDefault="00D60071">
            <w:pPr>
              <w:pStyle w:val="TableText"/>
            </w:pPr>
          </w:p>
        </w:tc>
        <w:tc>
          <w:tcPr>
            <w:tcW w:w="624" w:type="dxa"/>
          </w:tcPr>
          <w:p w14:paraId="200E46B6" w14:textId="77777777" w:rsidR="00D60071" w:rsidRDefault="00D60071">
            <w:pPr>
              <w:pStyle w:val="TableText"/>
            </w:pPr>
          </w:p>
        </w:tc>
        <w:tc>
          <w:tcPr>
            <w:tcW w:w="624" w:type="dxa"/>
          </w:tcPr>
          <w:p w14:paraId="5EBB6DA9" w14:textId="77777777" w:rsidR="00D60071" w:rsidRDefault="00D60071">
            <w:pPr>
              <w:pStyle w:val="TableText"/>
            </w:pPr>
          </w:p>
        </w:tc>
        <w:tc>
          <w:tcPr>
            <w:tcW w:w="624" w:type="dxa"/>
          </w:tcPr>
          <w:p w14:paraId="576AD96A" w14:textId="77777777" w:rsidR="00D60071" w:rsidRDefault="00D60071">
            <w:pPr>
              <w:pStyle w:val="TableText"/>
            </w:pPr>
          </w:p>
        </w:tc>
        <w:tc>
          <w:tcPr>
            <w:tcW w:w="624" w:type="dxa"/>
          </w:tcPr>
          <w:p w14:paraId="39239C5D" w14:textId="77777777" w:rsidR="00D60071" w:rsidRDefault="00D60071">
            <w:pPr>
              <w:pStyle w:val="TableText"/>
            </w:pPr>
          </w:p>
        </w:tc>
        <w:tc>
          <w:tcPr>
            <w:tcW w:w="4650" w:type="dxa"/>
            <w:gridSpan w:val="2"/>
          </w:tcPr>
          <w:p w14:paraId="263261FF" w14:textId="77777777" w:rsidR="00D60071" w:rsidRDefault="00D60071" w:rsidP="00D60071">
            <w:pPr>
              <w:pStyle w:val="TableBlock"/>
              <w:numPr>
                <w:ilvl w:val="0"/>
                <w:numId w:val="23"/>
              </w:numPr>
              <w:tabs>
                <w:tab w:val="left" w:pos="624"/>
              </w:tabs>
            </w:pPr>
            <w:r w:rsidRPr="00B16BB5">
              <w:rPr>
                <w:rFonts w:hint="cs"/>
                <w:rtl/>
              </w:rPr>
              <w:t xml:space="preserve">פירוט  מאפייני השוואה </w:t>
            </w:r>
            <w:r>
              <w:rPr>
                <w:rFonts w:hint="cs"/>
                <w:rtl/>
              </w:rPr>
              <w:t>בהם נעשה שימוש,</w:t>
            </w:r>
            <w:r w:rsidR="00B85C20">
              <w:rPr>
                <w:rFonts w:hint="cs"/>
                <w:rtl/>
              </w:rPr>
              <w:t xml:space="preserve"> לרבות</w:t>
            </w:r>
            <w:r>
              <w:rPr>
                <w:rFonts w:hint="cs"/>
                <w:rtl/>
              </w:rPr>
              <w:t xml:space="preserve"> שינויים ביחס לחקר תנאי שוק שנעשה בעסקאות דומות בשנים קודמות, אם היו</w:t>
            </w:r>
            <w:r w:rsidR="00B85C20">
              <w:rPr>
                <w:rFonts w:hint="cs"/>
                <w:rtl/>
              </w:rPr>
              <w:t>;</w:t>
            </w:r>
          </w:p>
        </w:tc>
      </w:tr>
      <w:tr w:rsidR="00D60071" w14:paraId="789A3F65" w14:textId="77777777">
        <w:trPr>
          <w:cantSplit/>
          <w:trHeight w:val="60"/>
        </w:trPr>
        <w:tc>
          <w:tcPr>
            <w:tcW w:w="1871" w:type="dxa"/>
          </w:tcPr>
          <w:p w14:paraId="1A99A826" w14:textId="77777777" w:rsidR="00D60071" w:rsidRDefault="00D60071">
            <w:pPr>
              <w:pStyle w:val="TableSideHeading"/>
            </w:pPr>
          </w:p>
        </w:tc>
        <w:tc>
          <w:tcPr>
            <w:tcW w:w="624" w:type="dxa"/>
          </w:tcPr>
          <w:p w14:paraId="13D472AE" w14:textId="77777777" w:rsidR="00D60071" w:rsidRDefault="00D60071" w:rsidP="00D60071">
            <w:pPr>
              <w:pStyle w:val="TableText"/>
            </w:pPr>
          </w:p>
        </w:tc>
        <w:tc>
          <w:tcPr>
            <w:tcW w:w="624" w:type="dxa"/>
          </w:tcPr>
          <w:p w14:paraId="58402B84" w14:textId="77777777" w:rsidR="00D60071" w:rsidRDefault="00D60071">
            <w:pPr>
              <w:pStyle w:val="TableText"/>
            </w:pPr>
          </w:p>
        </w:tc>
        <w:tc>
          <w:tcPr>
            <w:tcW w:w="624" w:type="dxa"/>
          </w:tcPr>
          <w:p w14:paraId="30D24A89" w14:textId="77777777" w:rsidR="00D60071" w:rsidRDefault="00D60071">
            <w:pPr>
              <w:pStyle w:val="TableText"/>
            </w:pPr>
          </w:p>
        </w:tc>
        <w:tc>
          <w:tcPr>
            <w:tcW w:w="624" w:type="dxa"/>
          </w:tcPr>
          <w:p w14:paraId="0E822C9C" w14:textId="77777777" w:rsidR="00D60071" w:rsidRDefault="00D60071">
            <w:pPr>
              <w:pStyle w:val="TableText"/>
            </w:pPr>
          </w:p>
        </w:tc>
        <w:tc>
          <w:tcPr>
            <w:tcW w:w="624" w:type="dxa"/>
          </w:tcPr>
          <w:p w14:paraId="32F6110C" w14:textId="77777777" w:rsidR="00D60071" w:rsidRDefault="00D60071">
            <w:pPr>
              <w:pStyle w:val="TableText"/>
            </w:pPr>
          </w:p>
        </w:tc>
        <w:tc>
          <w:tcPr>
            <w:tcW w:w="4650" w:type="dxa"/>
            <w:gridSpan w:val="2"/>
          </w:tcPr>
          <w:p w14:paraId="24F8D1ED" w14:textId="77777777" w:rsidR="00D60071" w:rsidRPr="00B16BB5" w:rsidRDefault="00D60071" w:rsidP="00B85C20">
            <w:pPr>
              <w:pStyle w:val="TableBlock"/>
              <w:numPr>
                <w:ilvl w:val="0"/>
                <w:numId w:val="23"/>
              </w:numPr>
              <w:rPr>
                <w:rtl/>
              </w:rPr>
            </w:pPr>
            <w:r>
              <w:rPr>
                <w:rFonts w:hint="cs"/>
                <w:rtl/>
              </w:rPr>
              <w:t>השיטה בה נעשה שימוש לצורך קביעת תנאי השוק, בהתאם לתקנה 2, לרבות ציון השיטה להשוואת שיעור הרווחיות, אם נעשה שימוש בשיטה כאמור ושיעור הרווחיות שנקבע לצורך ההשוואה, בצירוף הנימוקים לבחירה בה</w:t>
            </w:r>
            <w:r w:rsidR="00B85C20">
              <w:rPr>
                <w:rFonts w:hint="cs"/>
                <w:rtl/>
              </w:rPr>
              <w:t>;</w:t>
            </w:r>
          </w:p>
        </w:tc>
      </w:tr>
      <w:tr w:rsidR="00D60071" w14:paraId="6BDC28A5" w14:textId="77777777">
        <w:trPr>
          <w:cantSplit/>
          <w:trHeight w:val="60"/>
        </w:trPr>
        <w:tc>
          <w:tcPr>
            <w:tcW w:w="1871" w:type="dxa"/>
          </w:tcPr>
          <w:p w14:paraId="507EFEC6" w14:textId="77777777" w:rsidR="00D60071" w:rsidRDefault="00D60071">
            <w:pPr>
              <w:pStyle w:val="TableSideHeading"/>
            </w:pPr>
          </w:p>
        </w:tc>
        <w:tc>
          <w:tcPr>
            <w:tcW w:w="624" w:type="dxa"/>
          </w:tcPr>
          <w:p w14:paraId="3300E026" w14:textId="77777777" w:rsidR="00D60071" w:rsidRDefault="00D60071" w:rsidP="00D60071">
            <w:pPr>
              <w:pStyle w:val="TableText"/>
            </w:pPr>
          </w:p>
        </w:tc>
        <w:tc>
          <w:tcPr>
            <w:tcW w:w="624" w:type="dxa"/>
          </w:tcPr>
          <w:p w14:paraId="43A3F310" w14:textId="77777777" w:rsidR="00D60071" w:rsidRDefault="00D60071">
            <w:pPr>
              <w:pStyle w:val="TableText"/>
            </w:pPr>
          </w:p>
        </w:tc>
        <w:tc>
          <w:tcPr>
            <w:tcW w:w="624" w:type="dxa"/>
          </w:tcPr>
          <w:p w14:paraId="03B07DD0" w14:textId="77777777" w:rsidR="00D60071" w:rsidRDefault="00D60071">
            <w:pPr>
              <w:pStyle w:val="TableText"/>
            </w:pPr>
          </w:p>
        </w:tc>
        <w:tc>
          <w:tcPr>
            <w:tcW w:w="624" w:type="dxa"/>
          </w:tcPr>
          <w:p w14:paraId="24D7559A" w14:textId="77777777" w:rsidR="00D60071" w:rsidRDefault="00D60071">
            <w:pPr>
              <w:pStyle w:val="TableText"/>
            </w:pPr>
          </w:p>
        </w:tc>
        <w:tc>
          <w:tcPr>
            <w:tcW w:w="624" w:type="dxa"/>
          </w:tcPr>
          <w:p w14:paraId="73FBC1E5" w14:textId="77777777" w:rsidR="00D60071" w:rsidRDefault="00D60071">
            <w:pPr>
              <w:pStyle w:val="TableText"/>
            </w:pPr>
          </w:p>
        </w:tc>
        <w:tc>
          <w:tcPr>
            <w:tcW w:w="4650" w:type="dxa"/>
            <w:gridSpan w:val="2"/>
          </w:tcPr>
          <w:p w14:paraId="1C4A5CF0" w14:textId="77777777" w:rsidR="00D60071" w:rsidRPr="00B16BB5" w:rsidRDefault="00D60071" w:rsidP="00D60071">
            <w:pPr>
              <w:pStyle w:val="TableBlock"/>
              <w:numPr>
                <w:ilvl w:val="0"/>
                <w:numId w:val="23"/>
              </w:numPr>
              <w:rPr>
                <w:rtl/>
              </w:rPr>
            </w:pPr>
            <w:r>
              <w:rPr>
                <w:rFonts w:hint="cs"/>
                <w:rtl/>
              </w:rPr>
              <w:t>הצד הנבדק והנימוקים</w:t>
            </w:r>
            <w:r w:rsidR="00B85C20">
              <w:rPr>
                <w:rFonts w:hint="cs"/>
                <w:rtl/>
              </w:rPr>
              <w:t xml:space="preserve"> לבחירה בו;</w:t>
            </w:r>
          </w:p>
        </w:tc>
      </w:tr>
      <w:tr w:rsidR="00D60071" w14:paraId="0355A809" w14:textId="77777777">
        <w:trPr>
          <w:cantSplit/>
          <w:trHeight w:val="60"/>
        </w:trPr>
        <w:tc>
          <w:tcPr>
            <w:tcW w:w="1871" w:type="dxa"/>
          </w:tcPr>
          <w:p w14:paraId="78102A63" w14:textId="77777777" w:rsidR="00D60071" w:rsidRDefault="00D60071">
            <w:pPr>
              <w:pStyle w:val="TableSideHeading"/>
            </w:pPr>
          </w:p>
        </w:tc>
        <w:tc>
          <w:tcPr>
            <w:tcW w:w="624" w:type="dxa"/>
          </w:tcPr>
          <w:p w14:paraId="1F372043" w14:textId="77777777" w:rsidR="00D60071" w:rsidRDefault="00D60071" w:rsidP="00D60071">
            <w:pPr>
              <w:pStyle w:val="TableText"/>
            </w:pPr>
          </w:p>
        </w:tc>
        <w:tc>
          <w:tcPr>
            <w:tcW w:w="624" w:type="dxa"/>
          </w:tcPr>
          <w:p w14:paraId="20DD6D67" w14:textId="77777777" w:rsidR="00D60071" w:rsidRDefault="00D60071">
            <w:pPr>
              <w:pStyle w:val="TableText"/>
            </w:pPr>
          </w:p>
        </w:tc>
        <w:tc>
          <w:tcPr>
            <w:tcW w:w="624" w:type="dxa"/>
          </w:tcPr>
          <w:p w14:paraId="69BAD1B2" w14:textId="77777777" w:rsidR="00D60071" w:rsidRDefault="00D60071">
            <w:pPr>
              <w:pStyle w:val="TableText"/>
            </w:pPr>
          </w:p>
        </w:tc>
        <w:tc>
          <w:tcPr>
            <w:tcW w:w="624" w:type="dxa"/>
          </w:tcPr>
          <w:p w14:paraId="3F0B8C3B" w14:textId="77777777" w:rsidR="00D60071" w:rsidRDefault="00D60071">
            <w:pPr>
              <w:pStyle w:val="TableText"/>
            </w:pPr>
          </w:p>
        </w:tc>
        <w:tc>
          <w:tcPr>
            <w:tcW w:w="624" w:type="dxa"/>
          </w:tcPr>
          <w:p w14:paraId="390F82DC" w14:textId="77777777" w:rsidR="00D60071" w:rsidRDefault="00D60071">
            <w:pPr>
              <w:pStyle w:val="TableText"/>
            </w:pPr>
          </w:p>
        </w:tc>
        <w:tc>
          <w:tcPr>
            <w:tcW w:w="4650" w:type="dxa"/>
            <w:gridSpan w:val="2"/>
          </w:tcPr>
          <w:p w14:paraId="231BFA14" w14:textId="77777777" w:rsidR="00D60071" w:rsidRDefault="00D60071" w:rsidP="00D60071">
            <w:pPr>
              <w:pStyle w:val="TableBlock"/>
              <w:numPr>
                <w:ilvl w:val="0"/>
                <w:numId w:val="23"/>
              </w:numPr>
              <w:rPr>
                <w:rtl/>
              </w:rPr>
            </w:pPr>
            <w:r w:rsidRPr="00B16BB5">
              <w:rPr>
                <w:rFonts w:hint="cs"/>
                <w:rtl/>
              </w:rPr>
              <w:t>תיאור</w:t>
            </w:r>
            <w:r>
              <w:rPr>
                <w:rFonts w:hint="cs"/>
                <w:rtl/>
              </w:rPr>
              <w:t xml:space="preserve"> של</w:t>
            </w:r>
            <w:r w:rsidRPr="00B16BB5">
              <w:rPr>
                <w:rFonts w:hint="cs"/>
                <w:rtl/>
              </w:rPr>
              <w:t xml:space="preserve"> העסקאות הדומות שנבחרו</w:t>
            </w:r>
            <w:r>
              <w:rPr>
                <w:rFonts w:hint="cs"/>
                <w:rtl/>
              </w:rPr>
              <w:t xml:space="preserve"> לצורך השוואה כאמור בתקנה 2(א)</w:t>
            </w:r>
            <w:r w:rsidRPr="00B16BB5">
              <w:rPr>
                <w:rFonts w:hint="cs"/>
                <w:rtl/>
              </w:rPr>
              <w:t xml:space="preserve"> </w:t>
            </w:r>
            <w:r>
              <w:rPr>
                <w:rFonts w:hint="cs"/>
                <w:rtl/>
              </w:rPr>
              <w:t>לרבות</w:t>
            </w:r>
            <w:r w:rsidRPr="00B16BB5">
              <w:rPr>
                <w:rFonts w:hint="cs"/>
                <w:rtl/>
              </w:rPr>
              <w:t xml:space="preserve"> </w:t>
            </w:r>
            <w:r>
              <w:rPr>
                <w:rFonts w:hint="cs"/>
                <w:rtl/>
              </w:rPr>
              <w:t>פירוט הישויות</w:t>
            </w:r>
            <w:r w:rsidRPr="00B16BB5">
              <w:rPr>
                <w:rFonts w:hint="cs"/>
                <w:rtl/>
              </w:rPr>
              <w:t xml:space="preserve"> </w:t>
            </w:r>
            <w:r>
              <w:rPr>
                <w:rFonts w:hint="cs"/>
                <w:rtl/>
              </w:rPr>
              <w:t>עליהן הסתמך הנישום לצורך קביעת שיעור הרווחיות המתאים ביותר לפעילותו בעסקה בינלאומית, כאמור בפסקה (3</w:t>
            </w:r>
            <w:r w:rsidR="00B85C20">
              <w:rPr>
                <w:rFonts w:hint="cs"/>
                <w:rtl/>
              </w:rPr>
              <w:t>) להגדרה "שיעור הרווחיות" (להלן-</w:t>
            </w:r>
            <w:r>
              <w:rPr>
                <w:rFonts w:hint="cs"/>
                <w:rtl/>
              </w:rPr>
              <w:t xml:space="preserve"> חברות ברות השוואה)</w:t>
            </w:r>
            <w:r w:rsidRPr="00B16BB5">
              <w:rPr>
                <w:rFonts w:hint="cs"/>
                <w:rtl/>
              </w:rPr>
              <w:t xml:space="preserve">, </w:t>
            </w:r>
            <w:r>
              <w:rPr>
                <w:rFonts w:hint="cs"/>
                <w:rtl/>
              </w:rPr>
              <w:t>ו</w:t>
            </w:r>
            <w:r w:rsidRPr="00B16BB5">
              <w:rPr>
                <w:rFonts w:hint="cs"/>
                <w:rtl/>
              </w:rPr>
              <w:t xml:space="preserve">תיאור </w:t>
            </w:r>
            <w:r>
              <w:rPr>
                <w:rFonts w:hint="cs"/>
                <w:rtl/>
              </w:rPr>
              <w:t>השיטה לאיתור עסקאות דומות ודרך קבלת המידע אשר שימש בסיס להשוואה</w:t>
            </w:r>
            <w:r w:rsidR="00B85C20">
              <w:rPr>
                <w:rFonts w:hint="cs"/>
                <w:rtl/>
              </w:rPr>
              <w:t>;</w:t>
            </w:r>
          </w:p>
        </w:tc>
      </w:tr>
      <w:tr w:rsidR="00D60071" w14:paraId="29CC5AB2" w14:textId="77777777">
        <w:trPr>
          <w:cantSplit/>
          <w:trHeight w:val="60"/>
        </w:trPr>
        <w:tc>
          <w:tcPr>
            <w:tcW w:w="1871" w:type="dxa"/>
          </w:tcPr>
          <w:p w14:paraId="081C21C9" w14:textId="77777777" w:rsidR="00D60071" w:rsidRDefault="00D60071">
            <w:pPr>
              <w:pStyle w:val="TableSideHeading"/>
            </w:pPr>
          </w:p>
        </w:tc>
        <w:tc>
          <w:tcPr>
            <w:tcW w:w="624" w:type="dxa"/>
          </w:tcPr>
          <w:p w14:paraId="3A48DE8E" w14:textId="77777777" w:rsidR="00D60071" w:rsidRDefault="00D60071" w:rsidP="00D60071">
            <w:pPr>
              <w:pStyle w:val="TableText"/>
            </w:pPr>
          </w:p>
        </w:tc>
        <w:tc>
          <w:tcPr>
            <w:tcW w:w="624" w:type="dxa"/>
          </w:tcPr>
          <w:p w14:paraId="188ED2D1" w14:textId="77777777" w:rsidR="00D60071" w:rsidRDefault="00D60071">
            <w:pPr>
              <w:pStyle w:val="TableText"/>
            </w:pPr>
          </w:p>
        </w:tc>
        <w:tc>
          <w:tcPr>
            <w:tcW w:w="624" w:type="dxa"/>
          </w:tcPr>
          <w:p w14:paraId="3A3A5E9D" w14:textId="77777777" w:rsidR="00D60071" w:rsidRDefault="00D60071">
            <w:pPr>
              <w:pStyle w:val="TableText"/>
            </w:pPr>
          </w:p>
        </w:tc>
        <w:tc>
          <w:tcPr>
            <w:tcW w:w="624" w:type="dxa"/>
          </w:tcPr>
          <w:p w14:paraId="6C4C79D6" w14:textId="77777777" w:rsidR="00D60071" w:rsidRDefault="00D60071">
            <w:pPr>
              <w:pStyle w:val="TableText"/>
            </w:pPr>
          </w:p>
        </w:tc>
        <w:tc>
          <w:tcPr>
            <w:tcW w:w="624" w:type="dxa"/>
          </w:tcPr>
          <w:p w14:paraId="4CEAE78D" w14:textId="77777777" w:rsidR="00D60071" w:rsidRDefault="00D60071">
            <w:pPr>
              <w:pStyle w:val="TableText"/>
            </w:pPr>
          </w:p>
        </w:tc>
        <w:tc>
          <w:tcPr>
            <w:tcW w:w="4650" w:type="dxa"/>
            <w:gridSpan w:val="2"/>
          </w:tcPr>
          <w:p w14:paraId="6AC1D9C5" w14:textId="77777777" w:rsidR="00D60071" w:rsidRPr="00B16BB5" w:rsidRDefault="00D60071" w:rsidP="00D60071">
            <w:pPr>
              <w:pStyle w:val="TableBlock"/>
              <w:numPr>
                <w:ilvl w:val="0"/>
                <w:numId w:val="23"/>
              </w:numPr>
              <w:rPr>
                <w:rtl/>
              </w:rPr>
            </w:pPr>
            <w:r>
              <w:rPr>
                <w:rFonts w:hint="cs"/>
                <w:rtl/>
              </w:rPr>
              <w:t>תיאור כללי אודות</w:t>
            </w:r>
            <w:r w:rsidRPr="00B16BB5">
              <w:rPr>
                <w:rFonts w:hint="cs"/>
                <w:rtl/>
              </w:rPr>
              <w:t xml:space="preserve"> </w:t>
            </w:r>
            <w:r>
              <w:rPr>
                <w:rFonts w:hint="cs"/>
                <w:rtl/>
              </w:rPr>
              <w:t xml:space="preserve">חברות ברות </w:t>
            </w:r>
            <w:r w:rsidRPr="00B16BB5">
              <w:rPr>
                <w:rFonts w:hint="cs"/>
                <w:rtl/>
              </w:rPr>
              <w:t>השוואה</w:t>
            </w:r>
            <w:r>
              <w:rPr>
                <w:rFonts w:hint="cs"/>
                <w:rtl/>
              </w:rPr>
              <w:t xml:space="preserve"> בצירוף דוחותיהן הכספיים</w:t>
            </w:r>
            <w:r w:rsidR="00B85C20">
              <w:rPr>
                <w:rFonts w:hint="cs"/>
                <w:rtl/>
              </w:rPr>
              <w:t>;</w:t>
            </w:r>
          </w:p>
        </w:tc>
      </w:tr>
      <w:tr w:rsidR="00D60071" w14:paraId="75462C98" w14:textId="77777777">
        <w:trPr>
          <w:cantSplit/>
          <w:trHeight w:val="60"/>
        </w:trPr>
        <w:tc>
          <w:tcPr>
            <w:tcW w:w="1871" w:type="dxa"/>
          </w:tcPr>
          <w:p w14:paraId="1FC0295F" w14:textId="77777777" w:rsidR="00D60071" w:rsidRDefault="00D60071">
            <w:pPr>
              <w:pStyle w:val="TableSideHeading"/>
            </w:pPr>
          </w:p>
        </w:tc>
        <w:tc>
          <w:tcPr>
            <w:tcW w:w="624" w:type="dxa"/>
          </w:tcPr>
          <w:p w14:paraId="29FFD8A9" w14:textId="77777777" w:rsidR="00D60071" w:rsidRDefault="00D60071" w:rsidP="00D60071">
            <w:pPr>
              <w:pStyle w:val="TableText"/>
            </w:pPr>
          </w:p>
        </w:tc>
        <w:tc>
          <w:tcPr>
            <w:tcW w:w="624" w:type="dxa"/>
          </w:tcPr>
          <w:p w14:paraId="5727993E" w14:textId="77777777" w:rsidR="00D60071" w:rsidRDefault="00D60071">
            <w:pPr>
              <w:pStyle w:val="TableText"/>
            </w:pPr>
          </w:p>
        </w:tc>
        <w:tc>
          <w:tcPr>
            <w:tcW w:w="624" w:type="dxa"/>
          </w:tcPr>
          <w:p w14:paraId="252ED52A" w14:textId="77777777" w:rsidR="00D60071" w:rsidRDefault="00D60071">
            <w:pPr>
              <w:pStyle w:val="TableText"/>
            </w:pPr>
          </w:p>
        </w:tc>
        <w:tc>
          <w:tcPr>
            <w:tcW w:w="624" w:type="dxa"/>
          </w:tcPr>
          <w:p w14:paraId="10B4667B" w14:textId="77777777" w:rsidR="00D60071" w:rsidRDefault="00D60071">
            <w:pPr>
              <w:pStyle w:val="TableText"/>
            </w:pPr>
          </w:p>
        </w:tc>
        <w:tc>
          <w:tcPr>
            <w:tcW w:w="624" w:type="dxa"/>
          </w:tcPr>
          <w:p w14:paraId="73CC3554" w14:textId="77777777" w:rsidR="00D60071" w:rsidRDefault="00D60071">
            <w:pPr>
              <w:pStyle w:val="TableText"/>
            </w:pPr>
          </w:p>
        </w:tc>
        <w:tc>
          <w:tcPr>
            <w:tcW w:w="4650" w:type="dxa"/>
            <w:gridSpan w:val="2"/>
          </w:tcPr>
          <w:p w14:paraId="7C26BDA4" w14:textId="77777777" w:rsidR="00D60071" w:rsidRPr="00B16BB5" w:rsidRDefault="00D60071" w:rsidP="00D60071">
            <w:pPr>
              <w:pStyle w:val="TableBlock"/>
              <w:numPr>
                <w:ilvl w:val="0"/>
                <w:numId w:val="23"/>
              </w:numPr>
              <w:rPr>
                <w:rtl/>
              </w:rPr>
            </w:pPr>
            <w:r>
              <w:rPr>
                <w:rFonts w:hint="cs"/>
                <w:rtl/>
              </w:rPr>
              <w:t>ערכי הטווח הבין רבעוני וערכי טווח הערכים בהם נעשה שימוש לצורך השוואה לפי תקנה 2(ב), ותוצאת ההשוואה שהתקבלה, כאמור באותה תקנה</w:t>
            </w:r>
            <w:r w:rsidR="00B85C20">
              <w:rPr>
                <w:rFonts w:hint="cs"/>
                <w:rtl/>
              </w:rPr>
              <w:t>;</w:t>
            </w:r>
          </w:p>
        </w:tc>
      </w:tr>
      <w:tr w:rsidR="00D60071" w14:paraId="110BF5B1" w14:textId="77777777">
        <w:trPr>
          <w:cantSplit/>
          <w:trHeight w:val="60"/>
        </w:trPr>
        <w:tc>
          <w:tcPr>
            <w:tcW w:w="1871" w:type="dxa"/>
          </w:tcPr>
          <w:p w14:paraId="2029B257" w14:textId="77777777" w:rsidR="00D60071" w:rsidRDefault="00D60071">
            <w:pPr>
              <w:pStyle w:val="TableSideHeading"/>
            </w:pPr>
          </w:p>
        </w:tc>
        <w:tc>
          <w:tcPr>
            <w:tcW w:w="624" w:type="dxa"/>
          </w:tcPr>
          <w:p w14:paraId="7AAB7577" w14:textId="77777777" w:rsidR="00D60071" w:rsidRDefault="00D60071" w:rsidP="00D60071">
            <w:pPr>
              <w:pStyle w:val="TableText"/>
            </w:pPr>
          </w:p>
        </w:tc>
        <w:tc>
          <w:tcPr>
            <w:tcW w:w="624" w:type="dxa"/>
          </w:tcPr>
          <w:p w14:paraId="1EC64979" w14:textId="77777777" w:rsidR="00D60071" w:rsidRDefault="00D60071">
            <w:pPr>
              <w:pStyle w:val="TableText"/>
            </w:pPr>
          </w:p>
        </w:tc>
        <w:tc>
          <w:tcPr>
            <w:tcW w:w="624" w:type="dxa"/>
          </w:tcPr>
          <w:p w14:paraId="37FD6885" w14:textId="77777777" w:rsidR="00D60071" w:rsidRDefault="00D60071">
            <w:pPr>
              <w:pStyle w:val="TableText"/>
            </w:pPr>
          </w:p>
        </w:tc>
        <w:tc>
          <w:tcPr>
            <w:tcW w:w="624" w:type="dxa"/>
          </w:tcPr>
          <w:p w14:paraId="0F9F8DB0" w14:textId="77777777" w:rsidR="00D60071" w:rsidRDefault="00D60071">
            <w:pPr>
              <w:pStyle w:val="TableText"/>
            </w:pPr>
          </w:p>
        </w:tc>
        <w:tc>
          <w:tcPr>
            <w:tcW w:w="624" w:type="dxa"/>
          </w:tcPr>
          <w:p w14:paraId="770B4478" w14:textId="77777777" w:rsidR="00D60071" w:rsidRDefault="00D60071">
            <w:pPr>
              <w:pStyle w:val="TableText"/>
            </w:pPr>
          </w:p>
        </w:tc>
        <w:tc>
          <w:tcPr>
            <w:tcW w:w="4650" w:type="dxa"/>
            <w:gridSpan w:val="2"/>
          </w:tcPr>
          <w:p w14:paraId="064E9DE4" w14:textId="77777777" w:rsidR="00D60071" w:rsidRPr="00B16BB5" w:rsidRDefault="00D60071" w:rsidP="00D60071">
            <w:pPr>
              <w:pStyle w:val="TableBlock"/>
              <w:numPr>
                <w:ilvl w:val="0"/>
                <w:numId w:val="23"/>
              </w:numPr>
              <w:rPr>
                <w:rtl/>
              </w:rPr>
            </w:pPr>
            <w:r w:rsidRPr="00B16BB5">
              <w:rPr>
                <w:rFonts w:hint="cs"/>
                <w:rtl/>
              </w:rPr>
              <w:t xml:space="preserve">פירוט ההתאמות שנעשו </w:t>
            </w:r>
            <w:r>
              <w:rPr>
                <w:rFonts w:hint="cs"/>
                <w:rtl/>
              </w:rPr>
              <w:t xml:space="preserve">בעסקאות דומות בהן מאפייני ההשוואה אינם זהים </w:t>
            </w:r>
            <w:r w:rsidRPr="00B16BB5">
              <w:rPr>
                <w:rFonts w:hint="cs"/>
                <w:rtl/>
              </w:rPr>
              <w:t xml:space="preserve">וכן </w:t>
            </w:r>
            <w:r>
              <w:rPr>
                <w:rFonts w:hint="cs"/>
                <w:rtl/>
              </w:rPr>
              <w:t>נימוקים</w:t>
            </w:r>
            <w:r w:rsidR="00B85C20">
              <w:rPr>
                <w:rFonts w:hint="cs"/>
                <w:rtl/>
              </w:rPr>
              <w:t xml:space="preserve"> לביצוע התאמות אלו;</w:t>
            </w:r>
          </w:p>
        </w:tc>
      </w:tr>
      <w:tr w:rsidR="00D60071" w14:paraId="537B65A9" w14:textId="77777777">
        <w:trPr>
          <w:cantSplit/>
          <w:trHeight w:val="60"/>
        </w:trPr>
        <w:tc>
          <w:tcPr>
            <w:tcW w:w="1871" w:type="dxa"/>
          </w:tcPr>
          <w:p w14:paraId="12DD542E" w14:textId="77777777" w:rsidR="00D60071" w:rsidRDefault="00D60071">
            <w:pPr>
              <w:pStyle w:val="TableSideHeading"/>
            </w:pPr>
          </w:p>
        </w:tc>
        <w:tc>
          <w:tcPr>
            <w:tcW w:w="624" w:type="dxa"/>
          </w:tcPr>
          <w:p w14:paraId="4FF32A1F" w14:textId="77777777" w:rsidR="00D60071" w:rsidRDefault="00D60071" w:rsidP="00D60071">
            <w:pPr>
              <w:pStyle w:val="TableText"/>
            </w:pPr>
          </w:p>
        </w:tc>
        <w:tc>
          <w:tcPr>
            <w:tcW w:w="624" w:type="dxa"/>
          </w:tcPr>
          <w:p w14:paraId="3EA3D70E" w14:textId="77777777" w:rsidR="00D60071" w:rsidRDefault="00D60071">
            <w:pPr>
              <w:pStyle w:val="TableText"/>
            </w:pPr>
          </w:p>
        </w:tc>
        <w:tc>
          <w:tcPr>
            <w:tcW w:w="624" w:type="dxa"/>
          </w:tcPr>
          <w:p w14:paraId="2E7E0E3A" w14:textId="77777777" w:rsidR="00D60071" w:rsidRDefault="00D60071">
            <w:pPr>
              <w:pStyle w:val="TableText"/>
            </w:pPr>
          </w:p>
        </w:tc>
        <w:tc>
          <w:tcPr>
            <w:tcW w:w="624" w:type="dxa"/>
          </w:tcPr>
          <w:p w14:paraId="34F48E41" w14:textId="77777777" w:rsidR="00D60071" w:rsidRDefault="00D60071">
            <w:pPr>
              <w:pStyle w:val="TableText"/>
            </w:pPr>
          </w:p>
        </w:tc>
        <w:tc>
          <w:tcPr>
            <w:tcW w:w="624" w:type="dxa"/>
          </w:tcPr>
          <w:p w14:paraId="25021C85" w14:textId="77777777" w:rsidR="00D60071" w:rsidRDefault="00D60071">
            <w:pPr>
              <w:pStyle w:val="TableText"/>
            </w:pPr>
          </w:p>
        </w:tc>
        <w:tc>
          <w:tcPr>
            <w:tcW w:w="4650" w:type="dxa"/>
            <w:gridSpan w:val="2"/>
          </w:tcPr>
          <w:p w14:paraId="5D0CEA0A" w14:textId="77777777" w:rsidR="00D60071" w:rsidRPr="00B16BB5" w:rsidRDefault="00D60071" w:rsidP="00D60071">
            <w:pPr>
              <w:pStyle w:val="TableBlock"/>
              <w:numPr>
                <w:ilvl w:val="0"/>
                <w:numId w:val="23"/>
              </w:numPr>
              <w:rPr>
                <w:rtl/>
              </w:rPr>
            </w:pPr>
            <w:r>
              <w:rPr>
                <w:rFonts w:hint="cs"/>
                <w:rtl/>
              </w:rPr>
              <w:t>הנימוקים</w:t>
            </w:r>
            <w:r w:rsidRPr="00B16BB5">
              <w:rPr>
                <w:rFonts w:hint="cs"/>
                <w:rtl/>
              </w:rPr>
              <w:t xml:space="preserve"> ל</w:t>
            </w:r>
            <w:r>
              <w:rPr>
                <w:rFonts w:hint="cs"/>
                <w:rtl/>
              </w:rPr>
              <w:t>קביעה</w:t>
            </w:r>
            <w:r w:rsidR="00B85C20">
              <w:rPr>
                <w:rFonts w:hint="cs"/>
                <w:rtl/>
              </w:rPr>
              <w:t xml:space="preserve"> כי העסקה היא בתנאי שוק</w:t>
            </w:r>
            <w:r w:rsidRPr="00B16BB5">
              <w:rPr>
                <w:rFonts w:hint="cs"/>
                <w:rtl/>
              </w:rPr>
              <w:t>"</w:t>
            </w:r>
            <w:r w:rsidR="00B85C20">
              <w:rPr>
                <w:rFonts w:hint="cs"/>
                <w:rtl/>
              </w:rPr>
              <w:t>;</w:t>
            </w:r>
          </w:p>
        </w:tc>
      </w:tr>
      <w:tr w:rsidR="00D60071" w14:paraId="62145C37" w14:textId="77777777">
        <w:trPr>
          <w:cantSplit/>
          <w:trHeight w:val="60"/>
        </w:trPr>
        <w:tc>
          <w:tcPr>
            <w:tcW w:w="1871" w:type="dxa"/>
          </w:tcPr>
          <w:p w14:paraId="3FF7F10A" w14:textId="77777777" w:rsidR="00D60071" w:rsidRDefault="00D60071" w:rsidP="00D60071">
            <w:pPr>
              <w:pStyle w:val="TableSideHeading"/>
            </w:pPr>
          </w:p>
        </w:tc>
        <w:tc>
          <w:tcPr>
            <w:tcW w:w="624" w:type="dxa"/>
          </w:tcPr>
          <w:p w14:paraId="25E6F503" w14:textId="77777777" w:rsidR="00D60071" w:rsidRDefault="00D60071" w:rsidP="00D60071">
            <w:pPr>
              <w:pStyle w:val="TableText"/>
            </w:pPr>
          </w:p>
        </w:tc>
        <w:tc>
          <w:tcPr>
            <w:tcW w:w="624" w:type="dxa"/>
          </w:tcPr>
          <w:p w14:paraId="2852288B" w14:textId="77777777" w:rsidR="00D60071" w:rsidRDefault="00D60071" w:rsidP="00D60071">
            <w:pPr>
              <w:pStyle w:val="TableText"/>
            </w:pPr>
          </w:p>
        </w:tc>
        <w:tc>
          <w:tcPr>
            <w:tcW w:w="624" w:type="dxa"/>
          </w:tcPr>
          <w:p w14:paraId="72EA15AA" w14:textId="77777777" w:rsidR="00D60071" w:rsidRDefault="00D60071" w:rsidP="00D60071">
            <w:pPr>
              <w:pStyle w:val="TableText"/>
            </w:pPr>
          </w:p>
        </w:tc>
        <w:tc>
          <w:tcPr>
            <w:tcW w:w="5898" w:type="dxa"/>
            <w:gridSpan w:val="4"/>
          </w:tcPr>
          <w:p w14:paraId="194E0B4E" w14:textId="77777777" w:rsidR="00D60071" w:rsidRDefault="00D60071" w:rsidP="00D60071">
            <w:pPr>
              <w:pStyle w:val="TableBlock"/>
              <w:numPr>
                <w:ilvl w:val="0"/>
                <w:numId w:val="22"/>
              </w:numPr>
              <w:tabs>
                <w:tab w:val="left" w:pos="624"/>
              </w:tabs>
              <w:rPr>
                <w:rtl/>
              </w:rPr>
            </w:pPr>
            <w:r>
              <w:rPr>
                <w:rFonts w:hint="cs"/>
                <w:rtl/>
              </w:rPr>
              <w:t>אחרי פסקה (9) יבוא:</w:t>
            </w:r>
          </w:p>
        </w:tc>
      </w:tr>
      <w:tr w:rsidR="00D60071" w14:paraId="1AB7073D" w14:textId="77777777">
        <w:trPr>
          <w:cantSplit/>
          <w:trHeight w:val="60"/>
        </w:trPr>
        <w:tc>
          <w:tcPr>
            <w:tcW w:w="1871" w:type="dxa"/>
          </w:tcPr>
          <w:p w14:paraId="4222A29D" w14:textId="77777777" w:rsidR="00D60071" w:rsidRDefault="00D60071">
            <w:pPr>
              <w:pStyle w:val="TableSideHeading"/>
            </w:pPr>
          </w:p>
        </w:tc>
        <w:tc>
          <w:tcPr>
            <w:tcW w:w="624" w:type="dxa"/>
          </w:tcPr>
          <w:p w14:paraId="45C54BCF" w14:textId="77777777" w:rsidR="00D60071" w:rsidRDefault="00D60071">
            <w:pPr>
              <w:pStyle w:val="TableText"/>
            </w:pPr>
          </w:p>
        </w:tc>
        <w:tc>
          <w:tcPr>
            <w:tcW w:w="624" w:type="dxa"/>
          </w:tcPr>
          <w:p w14:paraId="3CFA17D2" w14:textId="77777777" w:rsidR="00D60071" w:rsidRDefault="00D60071">
            <w:pPr>
              <w:pStyle w:val="TableText"/>
            </w:pPr>
          </w:p>
        </w:tc>
        <w:tc>
          <w:tcPr>
            <w:tcW w:w="624" w:type="dxa"/>
          </w:tcPr>
          <w:p w14:paraId="6170A209" w14:textId="77777777" w:rsidR="00D60071" w:rsidRDefault="00D60071">
            <w:pPr>
              <w:pStyle w:val="TableText"/>
            </w:pPr>
          </w:p>
        </w:tc>
        <w:tc>
          <w:tcPr>
            <w:tcW w:w="624" w:type="dxa"/>
          </w:tcPr>
          <w:p w14:paraId="39052FCD" w14:textId="77777777" w:rsidR="00D60071" w:rsidRDefault="00D60071">
            <w:pPr>
              <w:pStyle w:val="TableText"/>
            </w:pPr>
          </w:p>
        </w:tc>
        <w:tc>
          <w:tcPr>
            <w:tcW w:w="5274" w:type="dxa"/>
            <w:gridSpan w:val="3"/>
          </w:tcPr>
          <w:p w14:paraId="1707A0F8" w14:textId="77777777" w:rsidR="00D60071" w:rsidRDefault="00D60071">
            <w:pPr>
              <w:pStyle w:val="TableBlock"/>
            </w:pPr>
            <w:r>
              <w:rPr>
                <w:rFonts w:hint="cs"/>
                <w:rtl/>
              </w:rPr>
              <w:t>"(10) סקירה של הקבוצה הרב לאומית שהנישום הוא חלק ממנה, לרבות:</w:t>
            </w:r>
          </w:p>
        </w:tc>
      </w:tr>
      <w:tr w:rsidR="00D60071" w14:paraId="4E71BEFA" w14:textId="77777777">
        <w:trPr>
          <w:cantSplit/>
          <w:trHeight w:val="60"/>
        </w:trPr>
        <w:tc>
          <w:tcPr>
            <w:tcW w:w="1871" w:type="dxa"/>
          </w:tcPr>
          <w:p w14:paraId="7A9D6B06" w14:textId="77777777" w:rsidR="00D60071" w:rsidRDefault="00D60071">
            <w:pPr>
              <w:pStyle w:val="TableSideHeading"/>
            </w:pPr>
          </w:p>
        </w:tc>
        <w:tc>
          <w:tcPr>
            <w:tcW w:w="624" w:type="dxa"/>
          </w:tcPr>
          <w:p w14:paraId="041FCA68" w14:textId="77777777" w:rsidR="00D60071" w:rsidRDefault="00D60071">
            <w:pPr>
              <w:pStyle w:val="TableText"/>
            </w:pPr>
          </w:p>
        </w:tc>
        <w:tc>
          <w:tcPr>
            <w:tcW w:w="624" w:type="dxa"/>
          </w:tcPr>
          <w:p w14:paraId="52A4A9C2" w14:textId="77777777" w:rsidR="00D60071" w:rsidRDefault="00D60071">
            <w:pPr>
              <w:pStyle w:val="TableText"/>
            </w:pPr>
          </w:p>
        </w:tc>
        <w:tc>
          <w:tcPr>
            <w:tcW w:w="624" w:type="dxa"/>
          </w:tcPr>
          <w:p w14:paraId="1211573D" w14:textId="77777777" w:rsidR="00D60071" w:rsidRDefault="00D60071">
            <w:pPr>
              <w:pStyle w:val="TableText"/>
            </w:pPr>
          </w:p>
        </w:tc>
        <w:tc>
          <w:tcPr>
            <w:tcW w:w="624" w:type="dxa"/>
          </w:tcPr>
          <w:p w14:paraId="3E4C77E2" w14:textId="77777777" w:rsidR="00D60071" w:rsidRDefault="00D60071">
            <w:pPr>
              <w:pStyle w:val="TableText"/>
            </w:pPr>
          </w:p>
        </w:tc>
        <w:tc>
          <w:tcPr>
            <w:tcW w:w="624" w:type="dxa"/>
          </w:tcPr>
          <w:p w14:paraId="169FDFD6" w14:textId="77777777" w:rsidR="00D60071" w:rsidRDefault="00D60071">
            <w:pPr>
              <w:pStyle w:val="TableText"/>
            </w:pPr>
          </w:p>
        </w:tc>
        <w:tc>
          <w:tcPr>
            <w:tcW w:w="4650" w:type="dxa"/>
            <w:gridSpan w:val="2"/>
          </w:tcPr>
          <w:p w14:paraId="0E5ADA34" w14:textId="77777777" w:rsidR="00D60071" w:rsidRDefault="00D60071" w:rsidP="00D60071">
            <w:pPr>
              <w:pStyle w:val="TableBlock"/>
              <w:numPr>
                <w:ilvl w:val="0"/>
                <w:numId w:val="24"/>
              </w:numPr>
              <w:tabs>
                <w:tab w:val="left" w:pos="624"/>
              </w:tabs>
            </w:pPr>
            <w:r w:rsidRPr="00191C3F">
              <w:rPr>
                <w:rFonts w:hint="cs"/>
                <w:rtl/>
              </w:rPr>
              <w:t>תרשים המציג את מבנה האחזקות של הקבוצה הרב לאומית לרבות מיקום גיאוגרפי של הישויות בקבוצה ו</w:t>
            </w:r>
            <w:r>
              <w:rPr>
                <w:rFonts w:hint="cs"/>
                <w:rtl/>
              </w:rPr>
              <w:t>צורת ההתאגדות או הפעילות, לפי העניין, של כל ישות</w:t>
            </w:r>
            <w:r w:rsidR="00B85C20">
              <w:rPr>
                <w:rFonts w:hint="cs"/>
                <w:rtl/>
              </w:rPr>
              <w:t>;</w:t>
            </w:r>
          </w:p>
        </w:tc>
      </w:tr>
      <w:tr w:rsidR="00D60071" w14:paraId="7A8B91C4" w14:textId="77777777">
        <w:trPr>
          <w:cantSplit/>
          <w:trHeight w:val="60"/>
        </w:trPr>
        <w:tc>
          <w:tcPr>
            <w:tcW w:w="1871" w:type="dxa"/>
          </w:tcPr>
          <w:p w14:paraId="7CB85E99" w14:textId="77777777" w:rsidR="00D60071" w:rsidRDefault="00D60071">
            <w:pPr>
              <w:pStyle w:val="TableSideHeading"/>
            </w:pPr>
          </w:p>
        </w:tc>
        <w:tc>
          <w:tcPr>
            <w:tcW w:w="624" w:type="dxa"/>
          </w:tcPr>
          <w:p w14:paraId="4812155C" w14:textId="77777777" w:rsidR="00D60071" w:rsidRDefault="00D60071" w:rsidP="00D60071">
            <w:pPr>
              <w:pStyle w:val="TableText"/>
            </w:pPr>
          </w:p>
        </w:tc>
        <w:tc>
          <w:tcPr>
            <w:tcW w:w="624" w:type="dxa"/>
          </w:tcPr>
          <w:p w14:paraId="78CA34F9" w14:textId="77777777" w:rsidR="00D60071" w:rsidRDefault="00D60071">
            <w:pPr>
              <w:pStyle w:val="TableText"/>
            </w:pPr>
          </w:p>
        </w:tc>
        <w:tc>
          <w:tcPr>
            <w:tcW w:w="624" w:type="dxa"/>
          </w:tcPr>
          <w:p w14:paraId="005F2A66" w14:textId="77777777" w:rsidR="00D60071" w:rsidRDefault="00D60071">
            <w:pPr>
              <w:pStyle w:val="TableText"/>
            </w:pPr>
          </w:p>
        </w:tc>
        <w:tc>
          <w:tcPr>
            <w:tcW w:w="624" w:type="dxa"/>
          </w:tcPr>
          <w:p w14:paraId="5DEA3AEF" w14:textId="77777777" w:rsidR="00D60071" w:rsidRDefault="00D60071">
            <w:pPr>
              <w:pStyle w:val="TableText"/>
            </w:pPr>
          </w:p>
        </w:tc>
        <w:tc>
          <w:tcPr>
            <w:tcW w:w="624" w:type="dxa"/>
          </w:tcPr>
          <w:p w14:paraId="7DE3BF49" w14:textId="77777777" w:rsidR="00D60071" w:rsidRDefault="00D60071">
            <w:pPr>
              <w:pStyle w:val="TableText"/>
            </w:pPr>
          </w:p>
        </w:tc>
        <w:tc>
          <w:tcPr>
            <w:tcW w:w="4650" w:type="dxa"/>
            <w:gridSpan w:val="2"/>
          </w:tcPr>
          <w:p w14:paraId="252E414B" w14:textId="77777777" w:rsidR="00D60071" w:rsidRPr="00191C3F" w:rsidRDefault="00D60071" w:rsidP="00D60071">
            <w:pPr>
              <w:pStyle w:val="TableBlock"/>
              <w:numPr>
                <w:ilvl w:val="0"/>
                <w:numId w:val="24"/>
              </w:numPr>
              <w:tabs>
                <w:tab w:val="left" w:pos="624"/>
              </w:tabs>
              <w:rPr>
                <w:rtl/>
              </w:rPr>
            </w:pPr>
            <w:r w:rsidRPr="00942F98">
              <w:rPr>
                <w:rFonts w:hint="cs"/>
                <w:rtl/>
              </w:rPr>
              <w:t>תיאור כללי של עסקי הקבוצה הרב לאומית לרבות:</w:t>
            </w:r>
          </w:p>
        </w:tc>
      </w:tr>
      <w:tr w:rsidR="00D60071" w14:paraId="0A19590D" w14:textId="77777777">
        <w:trPr>
          <w:cantSplit/>
          <w:trHeight w:val="60"/>
        </w:trPr>
        <w:tc>
          <w:tcPr>
            <w:tcW w:w="1871" w:type="dxa"/>
          </w:tcPr>
          <w:p w14:paraId="5763FCE5" w14:textId="77777777" w:rsidR="00D60071" w:rsidRDefault="00D60071">
            <w:pPr>
              <w:pStyle w:val="TableSideHeading"/>
            </w:pPr>
          </w:p>
        </w:tc>
        <w:tc>
          <w:tcPr>
            <w:tcW w:w="624" w:type="dxa"/>
          </w:tcPr>
          <w:p w14:paraId="31E9BE3A" w14:textId="77777777" w:rsidR="00D60071" w:rsidRDefault="00D60071">
            <w:pPr>
              <w:pStyle w:val="TableText"/>
            </w:pPr>
          </w:p>
        </w:tc>
        <w:tc>
          <w:tcPr>
            <w:tcW w:w="624" w:type="dxa"/>
          </w:tcPr>
          <w:p w14:paraId="6F337329" w14:textId="77777777" w:rsidR="00D60071" w:rsidRDefault="00D60071">
            <w:pPr>
              <w:pStyle w:val="TableText"/>
            </w:pPr>
          </w:p>
        </w:tc>
        <w:tc>
          <w:tcPr>
            <w:tcW w:w="624" w:type="dxa"/>
          </w:tcPr>
          <w:p w14:paraId="23D5DFA9" w14:textId="77777777" w:rsidR="00D60071" w:rsidRDefault="00D60071">
            <w:pPr>
              <w:pStyle w:val="TableText"/>
            </w:pPr>
          </w:p>
        </w:tc>
        <w:tc>
          <w:tcPr>
            <w:tcW w:w="624" w:type="dxa"/>
          </w:tcPr>
          <w:p w14:paraId="5EF2224C" w14:textId="77777777" w:rsidR="00D60071" w:rsidRDefault="00D60071">
            <w:pPr>
              <w:pStyle w:val="TableText"/>
            </w:pPr>
          </w:p>
        </w:tc>
        <w:tc>
          <w:tcPr>
            <w:tcW w:w="624" w:type="dxa"/>
          </w:tcPr>
          <w:p w14:paraId="0A1A9787" w14:textId="77777777" w:rsidR="00D60071" w:rsidRDefault="00D60071">
            <w:pPr>
              <w:pStyle w:val="TableText"/>
            </w:pPr>
          </w:p>
        </w:tc>
        <w:tc>
          <w:tcPr>
            <w:tcW w:w="624" w:type="dxa"/>
          </w:tcPr>
          <w:p w14:paraId="3933C852" w14:textId="77777777" w:rsidR="00D60071" w:rsidRDefault="00D60071">
            <w:pPr>
              <w:pStyle w:val="TableText"/>
            </w:pPr>
          </w:p>
        </w:tc>
        <w:tc>
          <w:tcPr>
            <w:tcW w:w="4026" w:type="dxa"/>
          </w:tcPr>
          <w:p w14:paraId="1298C710" w14:textId="77777777" w:rsidR="00D60071" w:rsidRDefault="00D60071" w:rsidP="00D60071">
            <w:pPr>
              <w:pStyle w:val="TableBlock"/>
              <w:numPr>
                <w:ilvl w:val="0"/>
                <w:numId w:val="25"/>
              </w:numPr>
              <w:tabs>
                <w:tab w:val="left" w:pos="624"/>
              </w:tabs>
            </w:pPr>
            <w:r>
              <w:rPr>
                <w:rFonts w:hint="cs"/>
                <w:rtl/>
              </w:rPr>
              <w:t>מנועי צמיחה עיקריים;</w:t>
            </w:r>
          </w:p>
        </w:tc>
      </w:tr>
      <w:tr w:rsidR="00D60071" w14:paraId="2DF46D80" w14:textId="77777777">
        <w:trPr>
          <w:cantSplit/>
          <w:trHeight w:val="60"/>
        </w:trPr>
        <w:tc>
          <w:tcPr>
            <w:tcW w:w="1871" w:type="dxa"/>
          </w:tcPr>
          <w:p w14:paraId="097A0FF5" w14:textId="77777777" w:rsidR="00D60071" w:rsidRDefault="00D60071">
            <w:pPr>
              <w:pStyle w:val="TableSideHeading"/>
            </w:pPr>
          </w:p>
        </w:tc>
        <w:tc>
          <w:tcPr>
            <w:tcW w:w="624" w:type="dxa"/>
          </w:tcPr>
          <w:p w14:paraId="2AC2E161" w14:textId="77777777" w:rsidR="00D60071" w:rsidRDefault="00D60071" w:rsidP="00D60071">
            <w:pPr>
              <w:pStyle w:val="TableText"/>
            </w:pPr>
          </w:p>
        </w:tc>
        <w:tc>
          <w:tcPr>
            <w:tcW w:w="624" w:type="dxa"/>
          </w:tcPr>
          <w:p w14:paraId="114D02A2" w14:textId="77777777" w:rsidR="00D60071" w:rsidRDefault="00D60071">
            <w:pPr>
              <w:pStyle w:val="TableText"/>
            </w:pPr>
          </w:p>
        </w:tc>
        <w:tc>
          <w:tcPr>
            <w:tcW w:w="624" w:type="dxa"/>
          </w:tcPr>
          <w:p w14:paraId="526AC3C3" w14:textId="77777777" w:rsidR="00D60071" w:rsidRDefault="00D60071">
            <w:pPr>
              <w:pStyle w:val="TableText"/>
            </w:pPr>
          </w:p>
        </w:tc>
        <w:tc>
          <w:tcPr>
            <w:tcW w:w="624" w:type="dxa"/>
          </w:tcPr>
          <w:p w14:paraId="64E4F18B" w14:textId="77777777" w:rsidR="00D60071" w:rsidRDefault="00D60071">
            <w:pPr>
              <w:pStyle w:val="TableText"/>
            </w:pPr>
          </w:p>
        </w:tc>
        <w:tc>
          <w:tcPr>
            <w:tcW w:w="624" w:type="dxa"/>
          </w:tcPr>
          <w:p w14:paraId="3E135C4E" w14:textId="77777777" w:rsidR="00D60071" w:rsidRDefault="00D60071">
            <w:pPr>
              <w:pStyle w:val="TableText"/>
            </w:pPr>
          </w:p>
        </w:tc>
        <w:tc>
          <w:tcPr>
            <w:tcW w:w="624" w:type="dxa"/>
          </w:tcPr>
          <w:p w14:paraId="07C8EB04" w14:textId="77777777" w:rsidR="00D60071" w:rsidRDefault="00D60071">
            <w:pPr>
              <w:pStyle w:val="TableText"/>
            </w:pPr>
          </w:p>
        </w:tc>
        <w:tc>
          <w:tcPr>
            <w:tcW w:w="4026" w:type="dxa"/>
          </w:tcPr>
          <w:p w14:paraId="41ECA14A" w14:textId="77777777" w:rsidR="00D60071" w:rsidRDefault="00D60071" w:rsidP="00D60071">
            <w:pPr>
              <w:pStyle w:val="TableBlock"/>
              <w:numPr>
                <w:ilvl w:val="0"/>
                <w:numId w:val="25"/>
              </w:numPr>
              <w:tabs>
                <w:tab w:val="left" w:pos="624"/>
              </w:tabs>
              <w:rPr>
                <w:rtl/>
              </w:rPr>
            </w:pPr>
            <w:r w:rsidRPr="00191C3F">
              <w:rPr>
                <w:rFonts w:hint="cs"/>
                <w:rtl/>
              </w:rPr>
              <w:t xml:space="preserve">תיאור שרשרת האספקה של חמשת המוצרים  או השירותים שמציעה הקבוצה מהם נובעת </w:t>
            </w:r>
            <w:r>
              <w:rPr>
                <w:rFonts w:hint="cs"/>
                <w:rtl/>
              </w:rPr>
              <w:t xml:space="preserve">לה </w:t>
            </w:r>
            <w:r w:rsidRPr="00191C3F">
              <w:rPr>
                <w:rFonts w:hint="cs"/>
                <w:rtl/>
              </w:rPr>
              <w:t>ההכנסה הגבוהה ביותר,</w:t>
            </w:r>
            <w:r>
              <w:rPr>
                <w:rFonts w:hint="cs"/>
                <w:rtl/>
              </w:rPr>
              <w:t xml:space="preserve"> </w:t>
            </w:r>
            <w:r w:rsidRPr="00191C3F">
              <w:rPr>
                <w:rFonts w:hint="cs"/>
                <w:rtl/>
              </w:rPr>
              <w:t>ו</w:t>
            </w:r>
            <w:r>
              <w:rPr>
                <w:rFonts w:hint="cs"/>
                <w:rtl/>
              </w:rPr>
              <w:t xml:space="preserve">כן </w:t>
            </w:r>
            <w:r w:rsidRPr="00191C3F">
              <w:rPr>
                <w:rFonts w:hint="cs"/>
                <w:rtl/>
              </w:rPr>
              <w:t xml:space="preserve">מוצרים ושירותים נוספים אשר ההכנסה מהם </w:t>
            </w:r>
            <w:r>
              <w:rPr>
                <w:rFonts w:hint="cs"/>
                <w:rtl/>
              </w:rPr>
              <w:t xml:space="preserve">עולה על </w:t>
            </w:r>
            <w:r w:rsidRPr="00191C3F">
              <w:rPr>
                <w:rFonts w:hint="cs"/>
                <w:rtl/>
              </w:rPr>
              <w:t>- 5% ממחזור הקבוצה הרב לאומית</w:t>
            </w:r>
            <w:r>
              <w:rPr>
                <w:rFonts w:hint="cs"/>
                <w:rtl/>
              </w:rPr>
              <w:t>;</w:t>
            </w:r>
          </w:p>
        </w:tc>
      </w:tr>
      <w:tr w:rsidR="00D60071" w14:paraId="06BD5A96" w14:textId="77777777">
        <w:trPr>
          <w:cantSplit/>
          <w:trHeight w:val="60"/>
        </w:trPr>
        <w:tc>
          <w:tcPr>
            <w:tcW w:w="1871" w:type="dxa"/>
          </w:tcPr>
          <w:p w14:paraId="15198445" w14:textId="77777777" w:rsidR="00D60071" w:rsidRDefault="00D60071">
            <w:pPr>
              <w:pStyle w:val="TableSideHeading"/>
            </w:pPr>
          </w:p>
        </w:tc>
        <w:tc>
          <w:tcPr>
            <w:tcW w:w="624" w:type="dxa"/>
          </w:tcPr>
          <w:p w14:paraId="0EF40A76" w14:textId="77777777" w:rsidR="00D60071" w:rsidRDefault="00D60071" w:rsidP="00D60071">
            <w:pPr>
              <w:pStyle w:val="TableText"/>
            </w:pPr>
          </w:p>
        </w:tc>
        <w:tc>
          <w:tcPr>
            <w:tcW w:w="624" w:type="dxa"/>
          </w:tcPr>
          <w:p w14:paraId="4341F79B" w14:textId="77777777" w:rsidR="00D60071" w:rsidRDefault="00D60071">
            <w:pPr>
              <w:pStyle w:val="TableText"/>
            </w:pPr>
          </w:p>
        </w:tc>
        <w:tc>
          <w:tcPr>
            <w:tcW w:w="624" w:type="dxa"/>
          </w:tcPr>
          <w:p w14:paraId="54C4CBA0" w14:textId="77777777" w:rsidR="00D60071" w:rsidRDefault="00D60071">
            <w:pPr>
              <w:pStyle w:val="TableText"/>
            </w:pPr>
          </w:p>
        </w:tc>
        <w:tc>
          <w:tcPr>
            <w:tcW w:w="624" w:type="dxa"/>
          </w:tcPr>
          <w:p w14:paraId="1CC49C8F" w14:textId="77777777" w:rsidR="00D60071" w:rsidRDefault="00D60071">
            <w:pPr>
              <w:pStyle w:val="TableText"/>
            </w:pPr>
          </w:p>
        </w:tc>
        <w:tc>
          <w:tcPr>
            <w:tcW w:w="624" w:type="dxa"/>
          </w:tcPr>
          <w:p w14:paraId="3DB6CED9" w14:textId="77777777" w:rsidR="00D60071" w:rsidRDefault="00D60071">
            <w:pPr>
              <w:pStyle w:val="TableText"/>
            </w:pPr>
          </w:p>
        </w:tc>
        <w:tc>
          <w:tcPr>
            <w:tcW w:w="624" w:type="dxa"/>
          </w:tcPr>
          <w:p w14:paraId="292A3DD0" w14:textId="77777777" w:rsidR="00D60071" w:rsidRDefault="00D60071">
            <w:pPr>
              <w:pStyle w:val="TableText"/>
            </w:pPr>
          </w:p>
        </w:tc>
        <w:tc>
          <w:tcPr>
            <w:tcW w:w="4026" w:type="dxa"/>
          </w:tcPr>
          <w:p w14:paraId="54922C61" w14:textId="77777777" w:rsidR="00D60071" w:rsidRPr="00191C3F" w:rsidRDefault="00D60071" w:rsidP="00EE0AE3">
            <w:pPr>
              <w:pStyle w:val="TableBlock"/>
              <w:numPr>
                <w:ilvl w:val="0"/>
                <w:numId w:val="25"/>
              </w:numPr>
              <w:tabs>
                <w:tab w:val="left" w:pos="624"/>
              </w:tabs>
              <w:rPr>
                <w:rtl/>
              </w:rPr>
            </w:pPr>
            <w:r>
              <w:rPr>
                <w:rFonts w:hint="cs"/>
                <w:rtl/>
              </w:rPr>
              <w:t xml:space="preserve">פירוט </w:t>
            </w:r>
            <w:r w:rsidRPr="00191C3F">
              <w:rPr>
                <w:rFonts w:hint="cs"/>
                <w:rtl/>
              </w:rPr>
              <w:t>הסכמים למתן שירותים, למעט שירותי מחקר ופיתוח, בין ישויות הקבוצה הרב לאומית, וכן מדיניות קביעת מחירי העברה בעסקא</w:t>
            </w:r>
            <w:r>
              <w:rPr>
                <w:rFonts w:hint="cs"/>
                <w:rtl/>
              </w:rPr>
              <w:t>ות בין ישויות הקבוצה הרב לאומית;</w:t>
            </w:r>
          </w:p>
        </w:tc>
      </w:tr>
      <w:tr w:rsidR="00D60071" w14:paraId="61028C49" w14:textId="77777777">
        <w:trPr>
          <w:cantSplit/>
          <w:trHeight w:val="60"/>
        </w:trPr>
        <w:tc>
          <w:tcPr>
            <w:tcW w:w="1871" w:type="dxa"/>
          </w:tcPr>
          <w:p w14:paraId="2948DBB3" w14:textId="77777777" w:rsidR="00D60071" w:rsidRDefault="00D60071">
            <w:pPr>
              <w:pStyle w:val="TableSideHeading"/>
            </w:pPr>
          </w:p>
        </w:tc>
        <w:tc>
          <w:tcPr>
            <w:tcW w:w="624" w:type="dxa"/>
          </w:tcPr>
          <w:p w14:paraId="6B212623" w14:textId="77777777" w:rsidR="00D60071" w:rsidRDefault="00D60071" w:rsidP="00D60071">
            <w:pPr>
              <w:pStyle w:val="TableText"/>
            </w:pPr>
          </w:p>
        </w:tc>
        <w:tc>
          <w:tcPr>
            <w:tcW w:w="624" w:type="dxa"/>
          </w:tcPr>
          <w:p w14:paraId="71C0EAD2" w14:textId="77777777" w:rsidR="00D60071" w:rsidRDefault="00D60071">
            <w:pPr>
              <w:pStyle w:val="TableText"/>
            </w:pPr>
          </w:p>
        </w:tc>
        <w:tc>
          <w:tcPr>
            <w:tcW w:w="624" w:type="dxa"/>
          </w:tcPr>
          <w:p w14:paraId="10FD7FE4" w14:textId="77777777" w:rsidR="00D60071" w:rsidRDefault="00D60071">
            <w:pPr>
              <w:pStyle w:val="TableText"/>
            </w:pPr>
          </w:p>
        </w:tc>
        <w:tc>
          <w:tcPr>
            <w:tcW w:w="624" w:type="dxa"/>
          </w:tcPr>
          <w:p w14:paraId="681FFC35" w14:textId="77777777" w:rsidR="00D60071" w:rsidRDefault="00D60071">
            <w:pPr>
              <w:pStyle w:val="TableText"/>
            </w:pPr>
          </w:p>
        </w:tc>
        <w:tc>
          <w:tcPr>
            <w:tcW w:w="624" w:type="dxa"/>
          </w:tcPr>
          <w:p w14:paraId="2E1B67CE" w14:textId="77777777" w:rsidR="00D60071" w:rsidRDefault="00D60071">
            <w:pPr>
              <w:pStyle w:val="TableText"/>
            </w:pPr>
          </w:p>
        </w:tc>
        <w:tc>
          <w:tcPr>
            <w:tcW w:w="624" w:type="dxa"/>
          </w:tcPr>
          <w:p w14:paraId="6C6A088C" w14:textId="77777777" w:rsidR="00D60071" w:rsidRDefault="00D60071">
            <w:pPr>
              <w:pStyle w:val="TableText"/>
            </w:pPr>
          </w:p>
        </w:tc>
        <w:tc>
          <w:tcPr>
            <w:tcW w:w="4026" w:type="dxa"/>
          </w:tcPr>
          <w:p w14:paraId="3AD6E456" w14:textId="77777777" w:rsidR="00D60071" w:rsidRDefault="00D60071" w:rsidP="00D60071">
            <w:pPr>
              <w:pStyle w:val="TableBlock"/>
              <w:numPr>
                <w:ilvl w:val="0"/>
                <w:numId w:val="25"/>
              </w:numPr>
              <w:tabs>
                <w:tab w:val="left" w:pos="624"/>
              </w:tabs>
              <w:rPr>
                <w:rtl/>
              </w:rPr>
            </w:pPr>
            <w:r w:rsidRPr="00191C3F">
              <w:rPr>
                <w:rFonts w:hint="cs"/>
                <w:rtl/>
              </w:rPr>
              <w:t xml:space="preserve">תיאור השווקים הגיאוגרפים העיקריים </w:t>
            </w:r>
            <w:r w:rsidRPr="00AF6383">
              <w:rPr>
                <w:rFonts w:hint="cs"/>
                <w:rtl/>
              </w:rPr>
              <w:t>להם מיועדים המו</w:t>
            </w:r>
            <w:r>
              <w:rPr>
                <w:rFonts w:hint="cs"/>
                <w:rtl/>
              </w:rPr>
              <w:t>צרים והשירותים שפורטו בפסקה (2);</w:t>
            </w:r>
          </w:p>
        </w:tc>
      </w:tr>
      <w:tr w:rsidR="00D60071" w14:paraId="5AD85CDF" w14:textId="77777777">
        <w:trPr>
          <w:cantSplit/>
          <w:trHeight w:val="60"/>
        </w:trPr>
        <w:tc>
          <w:tcPr>
            <w:tcW w:w="1871" w:type="dxa"/>
          </w:tcPr>
          <w:p w14:paraId="39CCAC94" w14:textId="77777777" w:rsidR="00D60071" w:rsidRDefault="00D60071">
            <w:pPr>
              <w:pStyle w:val="TableSideHeading"/>
            </w:pPr>
          </w:p>
        </w:tc>
        <w:tc>
          <w:tcPr>
            <w:tcW w:w="624" w:type="dxa"/>
          </w:tcPr>
          <w:p w14:paraId="7C057E5B" w14:textId="77777777" w:rsidR="00D60071" w:rsidRDefault="00D60071" w:rsidP="00D60071">
            <w:pPr>
              <w:pStyle w:val="TableText"/>
            </w:pPr>
          </w:p>
        </w:tc>
        <w:tc>
          <w:tcPr>
            <w:tcW w:w="624" w:type="dxa"/>
          </w:tcPr>
          <w:p w14:paraId="79CD6C08" w14:textId="77777777" w:rsidR="00D60071" w:rsidRDefault="00D60071">
            <w:pPr>
              <w:pStyle w:val="TableText"/>
            </w:pPr>
          </w:p>
        </w:tc>
        <w:tc>
          <w:tcPr>
            <w:tcW w:w="624" w:type="dxa"/>
          </w:tcPr>
          <w:p w14:paraId="58B65C3A" w14:textId="77777777" w:rsidR="00D60071" w:rsidRDefault="00D60071">
            <w:pPr>
              <w:pStyle w:val="TableText"/>
            </w:pPr>
          </w:p>
        </w:tc>
        <w:tc>
          <w:tcPr>
            <w:tcW w:w="624" w:type="dxa"/>
          </w:tcPr>
          <w:p w14:paraId="66FCF782" w14:textId="77777777" w:rsidR="00D60071" w:rsidRDefault="00D60071">
            <w:pPr>
              <w:pStyle w:val="TableText"/>
            </w:pPr>
          </w:p>
        </w:tc>
        <w:tc>
          <w:tcPr>
            <w:tcW w:w="624" w:type="dxa"/>
          </w:tcPr>
          <w:p w14:paraId="11B01949" w14:textId="77777777" w:rsidR="00D60071" w:rsidRDefault="00D60071">
            <w:pPr>
              <w:pStyle w:val="TableText"/>
            </w:pPr>
          </w:p>
        </w:tc>
        <w:tc>
          <w:tcPr>
            <w:tcW w:w="624" w:type="dxa"/>
          </w:tcPr>
          <w:p w14:paraId="2BC6BDF1" w14:textId="77777777" w:rsidR="00D60071" w:rsidRDefault="00D60071">
            <w:pPr>
              <w:pStyle w:val="TableText"/>
            </w:pPr>
          </w:p>
        </w:tc>
        <w:tc>
          <w:tcPr>
            <w:tcW w:w="4026" w:type="dxa"/>
          </w:tcPr>
          <w:p w14:paraId="027197C7" w14:textId="77777777" w:rsidR="00D60071" w:rsidRPr="00191C3F" w:rsidRDefault="00D60071" w:rsidP="00D60071">
            <w:pPr>
              <w:pStyle w:val="TableBlock"/>
              <w:numPr>
                <w:ilvl w:val="0"/>
                <w:numId w:val="25"/>
              </w:numPr>
              <w:tabs>
                <w:tab w:val="left" w:pos="624"/>
              </w:tabs>
              <w:rPr>
                <w:rtl/>
              </w:rPr>
            </w:pPr>
            <w:r>
              <w:rPr>
                <w:rFonts w:hint="cs"/>
                <w:rtl/>
              </w:rPr>
              <w:t>תיאור</w:t>
            </w:r>
            <w:r w:rsidRPr="00191C3F">
              <w:rPr>
                <w:rFonts w:hint="cs"/>
                <w:rtl/>
              </w:rPr>
              <w:t xml:space="preserve"> התרומות העיקרי</w:t>
            </w:r>
            <w:r>
              <w:rPr>
                <w:rFonts w:hint="cs"/>
                <w:rtl/>
              </w:rPr>
              <w:t>ות של כל ישות בקבוצה</w:t>
            </w:r>
            <w:r w:rsidRPr="00191C3F">
              <w:rPr>
                <w:rFonts w:hint="cs"/>
                <w:rtl/>
              </w:rPr>
              <w:t xml:space="preserve"> </w:t>
            </w:r>
            <w:r>
              <w:rPr>
                <w:rFonts w:hint="cs"/>
                <w:rtl/>
              </w:rPr>
              <w:t>ליצירת ערך בקבוצה;</w:t>
            </w:r>
          </w:p>
        </w:tc>
      </w:tr>
      <w:tr w:rsidR="00D60071" w14:paraId="64DA1246" w14:textId="77777777">
        <w:trPr>
          <w:cantSplit/>
          <w:trHeight w:val="60"/>
        </w:trPr>
        <w:tc>
          <w:tcPr>
            <w:tcW w:w="1871" w:type="dxa"/>
          </w:tcPr>
          <w:p w14:paraId="396FBDF7" w14:textId="77777777" w:rsidR="00D60071" w:rsidRDefault="00D60071">
            <w:pPr>
              <w:pStyle w:val="TableSideHeading"/>
            </w:pPr>
          </w:p>
        </w:tc>
        <w:tc>
          <w:tcPr>
            <w:tcW w:w="624" w:type="dxa"/>
          </w:tcPr>
          <w:p w14:paraId="0ED78D3E" w14:textId="77777777" w:rsidR="00D60071" w:rsidRDefault="00D60071" w:rsidP="00D60071">
            <w:pPr>
              <w:pStyle w:val="TableText"/>
            </w:pPr>
          </w:p>
        </w:tc>
        <w:tc>
          <w:tcPr>
            <w:tcW w:w="624" w:type="dxa"/>
          </w:tcPr>
          <w:p w14:paraId="7E523533" w14:textId="77777777" w:rsidR="00D60071" w:rsidRDefault="00D60071">
            <w:pPr>
              <w:pStyle w:val="TableText"/>
            </w:pPr>
          </w:p>
        </w:tc>
        <w:tc>
          <w:tcPr>
            <w:tcW w:w="624" w:type="dxa"/>
          </w:tcPr>
          <w:p w14:paraId="32CFCFC7" w14:textId="77777777" w:rsidR="00D60071" w:rsidRDefault="00D60071">
            <w:pPr>
              <w:pStyle w:val="TableText"/>
            </w:pPr>
          </w:p>
        </w:tc>
        <w:tc>
          <w:tcPr>
            <w:tcW w:w="624" w:type="dxa"/>
          </w:tcPr>
          <w:p w14:paraId="6962CEA5" w14:textId="77777777" w:rsidR="00D60071" w:rsidRDefault="00D60071">
            <w:pPr>
              <w:pStyle w:val="TableText"/>
            </w:pPr>
          </w:p>
        </w:tc>
        <w:tc>
          <w:tcPr>
            <w:tcW w:w="624" w:type="dxa"/>
          </w:tcPr>
          <w:p w14:paraId="0E9E897A" w14:textId="77777777" w:rsidR="00D60071" w:rsidRDefault="00D60071">
            <w:pPr>
              <w:pStyle w:val="TableText"/>
            </w:pPr>
          </w:p>
        </w:tc>
        <w:tc>
          <w:tcPr>
            <w:tcW w:w="624" w:type="dxa"/>
          </w:tcPr>
          <w:p w14:paraId="730CD89F" w14:textId="77777777" w:rsidR="00D60071" w:rsidRDefault="00D60071">
            <w:pPr>
              <w:pStyle w:val="TableText"/>
            </w:pPr>
          </w:p>
        </w:tc>
        <w:tc>
          <w:tcPr>
            <w:tcW w:w="4026" w:type="dxa"/>
          </w:tcPr>
          <w:p w14:paraId="4EDF3AA8" w14:textId="77777777" w:rsidR="00D60071" w:rsidRDefault="00D60071" w:rsidP="00D60071">
            <w:pPr>
              <w:pStyle w:val="TableBlock"/>
              <w:numPr>
                <w:ilvl w:val="0"/>
                <w:numId w:val="25"/>
              </w:numPr>
              <w:tabs>
                <w:tab w:val="left" w:pos="624"/>
              </w:tabs>
              <w:rPr>
                <w:rtl/>
              </w:rPr>
            </w:pPr>
            <w:r w:rsidRPr="00191C3F">
              <w:rPr>
                <w:rFonts w:hint="cs"/>
                <w:rtl/>
              </w:rPr>
              <w:t>תיאור שינויים</w:t>
            </w:r>
            <w:r>
              <w:rPr>
                <w:rtl/>
              </w:rPr>
              <w:t xml:space="preserve"> במבנה הבעלות והשליטה בנישום</w:t>
            </w:r>
            <w:r>
              <w:rPr>
                <w:rFonts w:hint="cs"/>
                <w:rtl/>
              </w:rPr>
              <w:t xml:space="preserve"> ו</w:t>
            </w:r>
            <w:r w:rsidRPr="009D5B66">
              <w:rPr>
                <w:rtl/>
              </w:rPr>
              <w:t xml:space="preserve">במבנה הבעלות והשליטה של הנישום </w:t>
            </w:r>
            <w:r w:rsidRPr="003432A4">
              <w:rPr>
                <w:rtl/>
              </w:rPr>
              <w:t>ב</w:t>
            </w:r>
            <w:r w:rsidRPr="003432A4">
              <w:rPr>
                <w:rFonts w:hint="cs"/>
                <w:rtl/>
              </w:rPr>
              <w:t>י</w:t>
            </w:r>
            <w:r>
              <w:rPr>
                <w:rFonts w:hint="cs"/>
                <w:rtl/>
              </w:rPr>
              <w:t>שויות</w:t>
            </w:r>
            <w:r w:rsidRPr="009D5B66">
              <w:rPr>
                <w:rtl/>
              </w:rPr>
              <w:t xml:space="preserve"> אחרות</w:t>
            </w:r>
            <w:r>
              <w:rPr>
                <w:rFonts w:hint="cs"/>
                <w:rtl/>
              </w:rPr>
              <w:t>;</w:t>
            </w:r>
          </w:p>
        </w:tc>
      </w:tr>
      <w:tr w:rsidR="00D60071" w14:paraId="26C89277" w14:textId="77777777">
        <w:trPr>
          <w:cantSplit/>
          <w:trHeight w:val="60"/>
        </w:trPr>
        <w:tc>
          <w:tcPr>
            <w:tcW w:w="1871" w:type="dxa"/>
          </w:tcPr>
          <w:p w14:paraId="1CFC0011" w14:textId="77777777" w:rsidR="00D60071" w:rsidRDefault="00D60071">
            <w:pPr>
              <w:pStyle w:val="TableSideHeading"/>
            </w:pPr>
          </w:p>
        </w:tc>
        <w:tc>
          <w:tcPr>
            <w:tcW w:w="624" w:type="dxa"/>
          </w:tcPr>
          <w:p w14:paraId="0A9B5097" w14:textId="77777777" w:rsidR="00D60071" w:rsidRDefault="00D60071">
            <w:pPr>
              <w:pStyle w:val="TableText"/>
            </w:pPr>
          </w:p>
        </w:tc>
        <w:tc>
          <w:tcPr>
            <w:tcW w:w="624" w:type="dxa"/>
          </w:tcPr>
          <w:p w14:paraId="036F5E1E" w14:textId="77777777" w:rsidR="00D60071" w:rsidRDefault="00D60071">
            <w:pPr>
              <w:pStyle w:val="TableText"/>
            </w:pPr>
          </w:p>
        </w:tc>
        <w:tc>
          <w:tcPr>
            <w:tcW w:w="624" w:type="dxa"/>
          </w:tcPr>
          <w:p w14:paraId="627A4D48" w14:textId="77777777" w:rsidR="00D60071" w:rsidRDefault="00D60071">
            <w:pPr>
              <w:pStyle w:val="TableText"/>
            </w:pPr>
          </w:p>
        </w:tc>
        <w:tc>
          <w:tcPr>
            <w:tcW w:w="624" w:type="dxa"/>
          </w:tcPr>
          <w:p w14:paraId="08F3BFB1" w14:textId="77777777" w:rsidR="00D60071" w:rsidRDefault="00D60071">
            <w:pPr>
              <w:pStyle w:val="TableText"/>
            </w:pPr>
          </w:p>
        </w:tc>
        <w:tc>
          <w:tcPr>
            <w:tcW w:w="624" w:type="dxa"/>
          </w:tcPr>
          <w:p w14:paraId="0A0D986F" w14:textId="77777777" w:rsidR="00D60071" w:rsidRDefault="00D60071">
            <w:pPr>
              <w:pStyle w:val="TableText"/>
            </w:pPr>
          </w:p>
        </w:tc>
        <w:tc>
          <w:tcPr>
            <w:tcW w:w="4650" w:type="dxa"/>
            <w:gridSpan w:val="2"/>
          </w:tcPr>
          <w:p w14:paraId="469D9777" w14:textId="77777777" w:rsidR="00D60071" w:rsidRDefault="00D60071" w:rsidP="00D60071">
            <w:pPr>
              <w:pStyle w:val="TableBlock"/>
              <w:numPr>
                <w:ilvl w:val="0"/>
                <w:numId w:val="24"/>
              </w:numPr>
              <w:tabs>
                <w:tab w:val="left" w:pos="624"/>
              </w:tabs>
            </w:pPr>
            <w:r w:rsidRPr="00B16BB5">
              <w:rPr>
                <w:rFonts w:hint="cs"/>
                <w:rtl/>
              </w:rPr>
              <w:t xml:space="preserve">מידע לגבי </w:t>
            </w:r>
            <w:r w:rsidR="006D18D5">
              <w:rPr>
                <w:rFonts w:hint="cs"/>
                <w:rtl/>
              </w:rPr>
              <w:t xml:space="preserve">נכסים </w:t>
            </w:r>
            <w:r w:rsidRPr="00B16BB5">
              <w:rPr>
                <w:rFonts w:hint="cs"/>
                <w:rtl/>
              </w:rPr>
              <w:t>בלתי מוחשיים של הקבוצה</w:t>
            </w:r>
            <w:r>
              <w:rPr>
                <w:rFonts w:hint="cs"/>
                <w:rtl/>
              </w:rPr>
              <w:t>,</w:t>
            </w:r>
            <w:r w:rsidRPr="00B16BB5">
              <w:rPr>
                <w:rFonts w:hint="cs"/>
                <w:rtl/>
              </w:rPr>
              <w:t xml:space="preserve"> לרבות:</w:t>
            </w:r>
          </w:p>
        </w:tc>
      </w:tr>
      <w:tr w:rsidR="00D60071" w14:paraId="21EEE7C6" w14:textId="77777777">
        <w:trPr>
          <w:cantSplit/>
          <w:trHeight w:val="60"/>
        </w:trPr>
        <w:tc>
          <w:tcPr>
            <w:tcW w:w="1871" w:type="dxa"/>
          </w:tcPr>
          <w:p w14:paraId="77A797B9" w14:textId="77777777" w:rsidR="00D60071" w:rsidRDefault="00D60071" w:rsidP="00D60071">
            <w:pPr>
              <w:pStyle w:val="TableSideHeading"/>
            </w:pPr>
          </w:p>
        </w:tc>
        <w:tc>
          <w:tcPr>
            <w:tcW w:w="624" w:type="dxa"/>
          </w:tcPr>
          <w:p w14:paraId="737492C2" w14:textId="77777777" w:rsidR="00D60071" w:rsidRDefault="00D60071" w:rsidP="00D60071">
            <w:pPr>
              <w:pStyle w:val="TableText"/>
            </w:pPr>
          </w:p>
        </w:tc>
        <w:tc>
          <w:tcPr>
            <w:tcW w:w="624" w:type="dxa"/>
          </w:tcPr>
          <w:p w14:paraId="5A2F14BC" w14:textId="77777777" w:rsidR="00D60071" w:rsidRDefault="00D60071" w:rsidP="00D60071">
            <w:pPr>
              <w:pStyle w:val="TableText"/>
            </w:pPr>
          </w:p>
        </w:tc>
        <w:tc>
          <w:tcPr>
            <w:tcW w:w="624" w:type="dxa"/>
          </w:tcPr>
          <w:p w14:paraId="5B3B5EAA" w14:textId="77777777" w:rsidR="00D60071" w:rsidRDefault="00D60071" w:rsidP="00D60071">
            <w:pPr>
              <w:pStyle w:val="TableText"/>
            </w:pPr>
          </w:p>
        </w:tc>
        <w:tc>
          <w:tcPr>
            <w:tcW w:w="624" w:type="dxa"/>
          </w:tcPr>
          <w:p w14:paraId="0FAB8EF4" w14:textId="77777777" w:rsidR="00D60071" w:rsidRDefault="00D60071" w:rsidP="00D60071">
            <w:pPr>
              <w:pStyle w:val="TableText"/>
            </w:pPr>
          </w:p>
        </w:tc>
        <w:tc>
          <w:tcPr>
            <w:tcW w:w="624" w:type="dxa"/>
          </w:tcPr>
          <w:p w14:paraId="4397EF65" w14:textId="77777777" w:rsidR="00D60071" w:rsidRDefault="00D60071" w:rsidP="00D60071">
            <w:pPr>
              <w:pStyle w:val="TableText"/>
            </w:pPr>
          </w:p>
        </w:tc>
        <w:tc>
          <w:tcPr>
            <w:tcW w:w="624" w:type="dxa"/>
          </w:tcPr>
          <w:p w14:paraId="36C7DDD8" w14:textId="77777777" w:rsidR="00D60071" w:rsidRDefault="00D60071" w:rsidP="00D60071">
            <w:pPr>
              <w:pStyle w:val="TableText"/>
            </w:pPr>
          </w:p>
        </w:tc>
        <w:tc>
          <w:tcPr>
            <w:tcW w:w="4026" w:type="dxa"/>
          </w:tcPr>
          <w:p w14:paraId="2C966D61" w14:textId="77777777" w:rsidR="00D60071" w:rsidRPr="001800A0" w:rsidRDefault="00D60071" w:rsidP="00D60071">
            <w:pPr>
              <w:pStyle w:val="TableBlock"/>
              <w:numPr>
                <w:ilvl w:val="0"/>
                <w:numId w:val="26"/>
              </w:numPr>
              <w:tabs>
                <w:tab w:val="left" w:pos="624"/>
              </w:tabs>
              <w:autoSpaceDE w:val="0"/>
              <w:autoSpaceDN w:val="0"/>
              <w:adjustRightInd w:val="0"/>
              <w:contextualSpacing w:val="0"/>
              <w:textAlignment w:val="center"/>
              <w:rPr>
                <w:sz w:val="26"/>
              </w:rPr>
            </w:pPr>
            <w:r w:rsidRPr="00183B8C">
              <w:rPr>
                <w:rFonts w:hint="cs"/>
                <w:sz w:val="26"/>
                <w:rtl/>
              </w:rPr>
              <w:t xml:space="preserve">תיאור </w:t>
            </w:r>
            <w:r>
              <w:rPr>
                <w:rFonts w:hint="cs"/>
                <w:sz w:val="26"/>
                <w:rtl/>
              </w:rPr>
              <w:t>מדיניות</w:t>
            </w:r>
            <w:r w:rsidRPr="00183B8C">
              <w:rPr>
                <w:rFonts w:hint="cs"/>
                <w:sz w:val="26"/>
                <w:rtl/>
              </w:rPr>
              <w:t xml:space="preserve"> הקבוצה הרב לאומית </w:t>
            </w:r>
            <w:r>
              <w:rPr>
                <w:rFonts w:hint="cs"/>
                <w:sz w:val="26"/>
                <w:rtl/>
              </w:rPr>
              <w:t xml:space="preserve">בנושא </w:t>
            </w:r>
            <w:r w:rsidRPr="00183B8C">
              <w:rPr>
                <w:rFonts w:hint="cs"/>
                <w:sz w:val="26"/>
                <w:rtl/>
              </w:rPr>
              <w:t xml:space="preserve">פיתוח, </w:t>
            </w:r>
            <w:r>
              <w:rPr>
                <w:rFonts w:hint="cs"/>
                <w:sz w:val="26"/>
                <w:rtl/>
              </w:rPr>
              <w:t>החזקה</w:t>
            </w:r>
            <w:r w:rsidRPr="00183B8C">
              <w:rPr>
                <w:rFonts w:hint="cs"/>
                <w:sz w:val="26"/>
                <w:rtl/>
              </w:rPr>
              <w:t xml:space="preserve"> וניצול ה</w:t>
            </w:r>
            <w:r w:rsidR="006D18D5">
              <w:rPr>
                <w:rFonts w:hint="cs"/>
                <w:sz w:val="26"/>
                <w:rtl/>
              </w:rPr>
              <w:t xml:space="preserve">נכסים </w:t>
            </w:r>
            <w:r w:rsidRPr="00183B8C">
              <w:rPr>
                <w:rFonts w:hint="cs"/>
                <w:sz w:val="26"/>
                <w:rtl/>
              </w:rPr>
              <w:t xml:space="preserve">בלתי מוחשיים שלה, לרבות </w:t>
            </w:r>
            <w:r>
              <w:rPr>
                <w:rFonts w:hint="cs"/>
                <w:sz w:val="26"/>
                <w:rtl/>
              </w:rPr>
              <w:t xml:space="preserve">פירוט </w:t>
            </w:r>
            <w:r w:rsidRPr="00183B8C">
              <w:rPr>
                <w:rFonts w:hint="cs"/>
                <w:sz w:val="26"/>
                <w:rtl/>
              </w:rPr>
              <w:t xml:space="preserve">מיקומם של </w:t>
            </w:r>
            <w:r w:rsidRPr="00183B8C">
              <w:rPr>
                <w:rFonts w:hint="eastAsia"/>
                <w:sz w:val="26"/>
                <w:rtl/>
              </w:rPr>
              <w:t>ה</w:t>
            </w:r>
            <w:r w:rsidRPr="00183B8C">
              <w:rPr>
                <w:rFonts w:hint="cs"/>
                <w:sz w:val="26"/>
                <w:rtl/>
              </w:rPr>
              <w:t xml:space="preserve">מפעלים העיקריים העוסקים במחקר ופיתוח ומיקומה של הנהלת </w:t>
            </w:r>
            <w:r>
              <w:rPr>
                <w:rFonts w:hint="cs"/>
                <w:sz w:val="26"/>
                <w:rtl/>
              </w:rPr>
              <w:t>ה</w:t>
            </w:r>
            <w:r w:rsidRPr="00183B8C">
              <w:rPr>
                <w:rFonts w:hint="cs"/>
                <w:sz w:val="26"/>
                <w:rtl/>
              </w:rPr>
              <w:t>מחקר ו</w:t>
            </w:r>
            <w:r>
              <w:rPr>
                <w:rFonts w:hint="cs"/>
                <w:sz w:val="26"/>
                <w:rtl/>
              </w:rPr>
              <w:t>הפיתוח;</w:t>
            </w:r>
          </w:p>
        </w:tc>
      </w:tr>
      <w:tr w:rsidR="00D60071" w14:paraId="07A9D59C" w14:textId="77777777">
        <w:trPr>
          <w:cantSplit/>
          <w:trHeight w:val="60"/>
        </w:trPr>
        <w:tc>
          <w:tcPr>
            <w:tcW w:w="1871" w:type="dxa"/>
          </w:tcPr>
          <w:p w14:paraId="653E5FFC" w14:textId="77777777" w:rsidR="00D60071" w:rsidRDefault="00D60071" w:rsidP="00D60071">
            <w:pPr>
              <w:pStyle w:val="TableSideHeading"/>
            </w:pPr>
          </w:p>
        </w:tc>
        <w:tc>
          <w:tcPr>
            <w:tcW w:w="624" w:type="dxa"/>
          </w:tcPr>
          <w:p w14:paraId="24F52436" w14:textId="77777777" w:rsidR="00D60071" w:rsidRDefault="00D60071" w:rsidP="00D60071">
            <w:pPr>
              <w:pStyle w:val="TableText"/>
            </w:pPr>
          </w:p>
        </w:tc>
        <w:tc>
          <w:tcPr>
            <w:tcW w:w="624" w:type="dxa"/>
          </w:tcPr>
          <w:p w14:paraId="6B7AE10A" w14:textId="77777777" w:rsidR="00D60071" w:rsidRDefault="00D60071" w:rsidP="00D60071">
            <w:pPr>
              <w:pStyle w:val="TableText"/>
            </w:pPr>
          </w:p>
        </w:tc>
        <w:tc>
          <w:tcPr>
            <w:tcW w:w="624" w:type="dxa"/>
          </w:tcPr>
          <w:p w14:paraId="64182A07" w14:textId="77777777" w:rsidR="00D60071" w:rsidRDefault="00D60071" w:rsidP="00D60071">
            <w:pPr>
              <w:pStyle w:val="TableText"/>
            </w:pPr>
          </w:p>
        </w:tc>
        <w:tc>
          <w:tcPr>
            <w:tcW w:w="624" w:type="dxa"/>
          </w:tcPr>
          <w:p w14:paraId="0E112FE1" w14:textId="77777777" w:rsidR="00D60071" w:rsidRDefault="00D60071" w:rsidP="00D60071">
            <w:pPr>
              <w:pStyle w:val="TableText"/>
            </w:pPr>
          </w:p>
        </w:tc>
        <w:tc>
          <w:tcPr>
            <w:tcW w:w="624" w:type="dxa"/>
          </w:tcPr>
          <w:p w14:paraId="44667C57" w14:textId="77777777" w:rsidR="00D60071" w:rsidRDefault="00D60071" w:rsidP="00D60071">
            <w:pPr>
              <w:pStyle w:val="TableText"/>
            </w:pPr>
          </w:p>
        </w:tc>
        <w:tc>
          <w:tcPr>
            <w:tcW w:w="624" w:type="dxa"/>
          </w:tcPr>
          <w:p w14:paraId="2ABCF8E3" w14:textId="77777777" w:rsidR="00D60071" w:rsidRDefault="00D60071" w:rsidP="00D60071">
            <w:pPr>
              <w:pStyle w:val="TableText"/>
            </w:pPr>
          </w:p>
        </w:tc>
        <w:tc>
          <w:tcPr>
            <w:tcW w:w="4026" w:type="dxa"/>
          </w:tcPr>
          <w:p w14:paraId="2EA4E9CB" w14:textId="77777777" w:rsidR="00D60071" w:rsidRPr="00183B8C" w:rsidRDefault="00D60071" w:rsidP="008258D7">
            <w:pPr>
              <w:pStyle w:val="TableBlock"/>
              <w:numPr>
                <w:ilvl w:val="0"/>
                <w:numId w:val="26"/>
              </w:numPr>
              <w:tabs>
                <w:tab w:val="left" w:pos="624"/>
              </w:tabs>
              <w:autoSpaceDE w:val="0"/>
              <w:autoSpaceDN w:val="0"/>
              <w:adjustRightInd w:val="0"/>
              <w:contextualSpacing w:val="0"/>
              <w:textAlignment w:val="center"/>
              <w:rPr>
                <w:sz w:val="26"/>
                <w:rtl/>
              </w:rPr>
            </w:pPr>
            <w:r w:rsidRPr="00183B8C">
              <w:rPr>
                <w:rFonts w:hint="cs"/>
                <w:sz w:val="26"/>
                <w:rtl/>
              </w:rPr>
              <w:t>פירוט רשימת ה</w:t>
            </w:r>
            <w:r w:rsidR="006D18D5">
              <w:rPr>
                <w:rFonts w:hint="cs"/>
                <w:sz w:val="26"/>
                <w:rtl/>
              </w:rPr>
              <w:t xml:space="preserve">נכסים </w:t>
            </w:r>
            <w:r w:rsidR="00F96D69">
              <w:rPr>
                <w:rFonts w:hint="cs"/>
                <w:sz w:val="26"/>
                <w:rtl/>
              </w:rPr>
              <w:t>ה</w:t>
            </w:r>
            <w:r w:rsidRPr="00183B8C">
              <w:rPr>
                <w:rFonts w:hint="cs"/>
                <w:sz w:val="26"/>
                <w:rtl/>
              </w:rPr>
              <w:t xml:space="preserve">בלתי מוחשיים </w:t>
            </w:r>
            <w:r w:rsidR="006C35C3">
              <w:rPr>
                <w:rFonts w:hint="cs"/>
                <w:sz w:val="26"/>
                <w:rtl/>
              </w:rPr>
              <w:t>בקבוצה הרב לאומית</w:t>
            </w:r>
            <w:r w:rsidRPr="00183B8C">
              <w:rPr>
                <w:rFonts w:hint="cs"/>
                <w:sz w:val="26"/>
                <w:rtl/>
              </w:rPr>
              <w:t xml:space="preserve"> והישויות המחזיקות </w:t>
            </w:r>
            <w:r>
              <w:rPr>
                <w:rFonts w:hint="cs"/>
                <w:sz w:val="26"/>
                <w:rtl/>
              </w:rPr>
              <w:t>בהם;</w:t>
            </w:r>
          </w:p>
        </w:tc>
      </w:tr>
      <w:tr w:rsidR="00D60071" w14:paraId="766D790D" w14:textId="77777777">
        <w:trPr>
          <w:cantSplit/>
          <w:trHeight w:val="60"/>
        </w:trPr>
        <w:tc>
          <w:tcPr>
            <w:tcW w:w="1871" w:type="dxa"/>
          </w:tcPr>
          <w:p w14:paraId="19747261" w14:textId="77777777" w:rsidR="00D60071" w:rsidRDefault="00D60071" w:rsidP="00D60071">
            <w:pPr>
              <w:pStyle w:val="TableSideHeading"/>
            </w:pPr>
          </w:p>
        </w:tc>
        <w:tc>
          <w:tcPr>
            <w:tcW w:w="624" w:type="dxa"/>
          </w:tcPr>
          <w:p w14:paraId="2354A943" w14:textId="77777777" w:rsidR="00D60071" w:rsidRDefault="00D60071" w:rsidP="00D60071">
            <w:pPr>
              <w:pStyle w:val="TableText"/>
            </w:pPr>
          </w:p>
        </w:tc>
        <w:tc>
          <w:tcPr>
            <w:tcW w:w="624" w:type="dxa"/>
          </w:tcPr>
          <w:p w14:paraId="01EE47C2" w14:textId="77777777" w:rsidR="00D60071" w:rsidRDefault="00D60071" w:rsidP="00D60071">
            <w:pPr>
              <w:pStyle w:val="TableText"/>
            </w:pPr>
          </w:p>
        </w:tc>
        <w:tc>
          <w:tcPr>
            <w:tcW w:w="624" w:type="dxa"/>
          </w:tcPr>
          <w:p w14:paraId="2D439DD7" w14:textId="77777777" w:rsidR="00D60071" w:rsidRDefault="00D60071" w:rsidP="00D60071">
            <w:pPr>
              <w:pStyle w:val="TableText"/>
            </w:pPr>
          </w:p>
        </w:tc>
        <w:tc>
          <w:tcPr>
            <w:tcW w:w="624" w:type="dxa"/>
          </w:tcPr>
          <w:p w14:paraId="160B1C13" w14:textId="77777777" w:rsidR="00D60071" w:rsidRDefault="00D60071" w:rsidP="00D60071">
            <w:pPr>
              <w:pStyle w:val="TableText"/>
            </w:pPr>
          </w:p>
        </w:tc>
        <w:tc>
          <w:tcPr>
            <w:tcW w:w="624" w:type="dxa"/>
          </w:tcPr>
          <w:p w14:paraId="4340BCA6" w14:textId="77777777" w:rsidR="00D60071" w:rsidRDefault="00D60071" w:rsidP="00D60071">
            <w:pPr>
              <w:pStyle w:val="TableText"/>
            </w:pPr>
          </w:p>
        </w:tc>
        <w:tc>
          <w:tcPr>
            <w:tcW w:w="624" w:type="dxa"/>
          </w:tcPr>
          <w:p w14:paraId="25920B8A" w14:textId="77777777" w:rsidR="00D60071" w:rsidRDefault="00D60071" w:rsidP="00D60071">
            <w:pPr>
              <w:pStyle w:val="TableText"/>
            </w:pPr>
          </w:p>
        </w:tc>
        <w:tc>
          <w:tcPr>
            <w:tcW w:w="4026" w:type="dxa"/>
          </w:tcPr>
          <w:p w14:paraId="6ED181CD" w14:textId="77777777" w:rsidR="00D60071" w:rsidRPr="00B2312D" w:rsidRDefault="00D60071" w:rsidP="008537A6">
            <w:pPr>
              <w:pStyle w:val="TableBlock"/>
              <w:numPr>
                <w:ilvl w:val="0"/>
                <w:numId w:val="26"/>
              </w:numPr>
              <w:tabs>
                <w:tab w:val="left" w:pos="624"/>
              </w:tabs>
              <w:autoSpaceDE w:val="0"/>
              <w:autoSpaceDN w:val="0"/>
              <w:adjustRightInd w:val="0"/>
              <w:contextualSpacing w:val="0"/>
              <w:textAlignment w:val="center"/>
              <w:rPr>
                <w:sz w:val="26"/>
                <w:rtl/>
              </w:rPr>
            </w:pPr>
            <w:r w:rsidRPr="00B2312D">
              <w:rPr>
                <w:rFonts w:hint="cs"/>
                <w:sz w:val="26"/>
                <w:rtl/>
              </w:rPr>
              <w:t>רשימת ההסכמים בין ישויות בקבוצה הרב לאומית הנוגעים ל</w:t>
            </w:r>
            <w:r w:rsidR="006D18D5" w:rsidRPr="00B2312D">
              <w:rPr>
                <w:rFonts w:hint="cs"/>
                <w:sz w:val="26"/>
                <w:rtl/>
              </w:rPr>
              <w:t xml:space="preserve">נכסים </w:t>
            </w:r>
            <w:r w:rsidRPr="00B2312D">
              <w:rPr>
                <w:rFonts w:hint="cs"/>
                <w:sz w:val="26"/>
                <w:rtl/>
              </w:rPr>
              <w:t>בלתי מוחשיים;</w:t>
            </w:r>
          </w:p>
        </w:tc>
      </w:tr>
      <w:tr w:rsidR="00D60071" w14:paraId="291F9744" w14:textId="77777777">
        <w:trPr>
          <w:cantSplit/>
          <w:trHeight w:val="60"/>
        </w:trPr>
        <w:tc>
          <w:tcPr>
            <w:tcW w:w="1871" w:type="dxa"/>
          </w:tcPr>
          <w:p w14:paraId="60C9D0FF" w14:textId="77777777" w:rsidR="00D60071" w:rsidRDefault="00D60071" w:rsidP="00D60071">
            <w:pPr>
              <w:pStyle w:val="TableSideHeading"/>
            </w:pPr>
          </w:p>
        </w:tc>
        <w:tc>
          <w:tcPr>
            <w:tcW w:w="624" w:type="dxa"/>
          </w:tcPr>
          <w:p w14:paraId="3963A86B" w14:textId="77777777" w:rsidR="00D60071" w:rsidRDefault="00D60071" w:rsidP="00D60071">
            <w:pPr>
              <w:pStyle w:val="TableText"/>
            </w:pPr>
          </w:p>
        </w:tc>
        <w:tc>
          <w:tcPr>
            <w:tcW w:w="624" w:type="dxa"/>
          </w:tcPr>
          <w:p w14:paraId="3F40EC49" w14:textId="77777777" w:rsidR="00D60071" w:rsidRDefault="00D60071" w:rsidP="00D60071">
            <w:pPr>
              <w:pStyle w:val="TableText"/>
            </w:pPr>
          </w:p>
        </w:tc>
        <w:tc>
          <w:tcPr>
            <w:tcW w:w="624" w:type="dxa"/>
          </w:tcPr>
          <w:p w14:paraId="38B57713" w14:textId="77777777" w:rsidR="00D60071" w:rsidRDefault="00D60071" w:rsidP="00D60071">
            <w:pPr>
              <w:pStyle w:val="TableText"/>
            </w:pPr>
          </w:p>
        </w:tc>
        <w:tc>
          <w:tcPr>
            <w:tcW w:w="624" w:type="dxa"/>
          </w:tcPr>
          <w:p w14:paraId="24A5E37A" w14:textId="77777777" w:rsidR="00D60071" w:rsidRDefault="00D60071" w:rsidP="00D60071">
            <w:pPr>
              <w:pStyle w:val="TableText"/>
            </w:pPr>
          </w:p>
        </w:tc>
        <w:tc>
          <w:tcPr>
            <w:tcW w:w="624" w:type="dxa"/>
          </w:tcPr>
          <w:p w14:paraId="0B14956B" w14:textId="77777777" w:rsidR="00D60071" w:rsidRDefault="00D60071" w:rsidP="00D60071">
            <w:pPr>
              <w:pStyle w:val="TableText"/>
            </w:pPr>
          </w:p>
        </w:tc>
        <w:tc>
          <w:tcPr>
            <w:tcW w:w="624" w:type="dxa"/>
          </w:tcPr>
          <w:p w14:paraId="2FB4D209" w14:textId="77777777" w:rsidR="00D60071" w:rsidRDefault="00D60071" w:rsidP="00D60071">
            <w:pPr>
              <w:pStyle w:val="TableText"/>
            </w:pPr>
          </w:p>
        </w:tc>
        <w:tc>
          <w:tcPr>
            <w:tcW w:w="4026" w:type="dxa"/>
          </w:tcPr>
          <w:p w14:paraId="46EA6488" w14:textId="77777777" w:rsidR="00D60071" w:rsidRPr="00B2312D" w:rsidRDefault="00D60071" w:rsidP="005173AF">
            <w:pPr>
              <w:pStyle w:val="TableBlock"/>
              <w:numPr>
                <w:ilvl w:val="0"/>
                <w:numId w:val="26"/>
              </w:numPr>
              <w:tabs>
                <w:tab w:val="left" w:pos="624"/>
              </w:tabs>
              <w:autoSpaceDE w:val="0"/>
              <w:autoSpaceDN w:val="0"/>
              <w:adjustRightInd w:val="0"/>
              <w:contextualSpacing w:val="0"/>
              <w:textAlignment w:val="center"/>
              <w:rPr>
                <w:rtl/>
              </w:rPr>
            </w:pPr>
            <w:r w:rsidRPr="00B2312D">
              <w:rPr>
                <w:rFonts w:hint="cs"/>
                <w:rtl/>
              </w:rPr>
              <w:t xml:space="preserve">תיאור כללי של מדיניות קביעת תנאי השוק  בקבוצה הרב לאומית </w:t>
            </w:r>
            <w:r w:rsidR="005173AF" w:rsidRPr="00B2312D">
              <w:rPr>
                <w:rFonts w:hint="cs"/>
                <w:rtl/>
              </w:rPr>
              <w:t xml:space="preserve">בעסקאות </w:t>
            </w:r>
            <w:r w:rsidRPr="00B2312D">
              <w:rPr>
                <w:rFonts w:hint="cs"/>
                <w:rtl/>
              </w:rPr>
              <w:t>ל</w:t>
            </w:r>
            <w:r w:rsidR="000935A0" w:rsidRPr="00B2312D">
              <w:rPr>
                <w:rFonts w:hint="cs"/>
                <w:rtl/>
              </w:rPr>
              <w:t xml:space="preserve">מתן </w:t>
            </w:r>
            <w:r w:rsidR="005173AF" w:rsidRPr="00B2312D">
              <w:rPr>
                <w:rFonts w:hint="cs"/>
                <w:rtl/>
              </w:rPr>
              <w:t xml:space="preserve">שירותי </w:t>
            </w:r>
            <w:r w:rsidRPr="00B2312D">
              <w:rPr>
                <w:rFonts w:hint="cs"/>
                <w:rtl/>
              </w:rPr>
              <w:t>מחקר ופיתוח ו</w:t>
            </w:r>
            <w:r w:rsidR="005173AF" w:rsidRPr="00B2312D">
              <w:rPr>
                <w:rFonts w:hint="cs"/>
                <w:rtl/>
              </w:rPr>
              <w:t xml:space="preserve">העברת </w:t>
            </w:r>
            <w:r w:rsidR="006D18D5" w:rsidRPr="00B2312D">
              <w:rPr>
                <w:rFonts w:hint="cs"/>
                <w:rtl/>
              </w:rPr>
              <w:t xml:space="preserve">נכסים </w:t>
            </w:r>
            <w:r w:rsidRPr="00B2312D">
              <w:rPr>
                <w:rFonts w:hint="cs"/>
                <w:rtl/>
              </w:rPr>
              <w:t>בלתי מוחשיים</w:t>
            </w:r>
            <w:r w:rsidR="005173AF" w:rsidRPr="00B2312D">
              <w:rPr>
                <w:rFonts w:hint="cs"/>
                <w:rtl/>
              </w:rPr>
              <w:t xml:space="preserve"> או מתן זכות שימוש בהם</w:t>
            </w:r>
            <w:r w:rsidRPr="00B2312D">
              <w:rPr>
                <w:rFonts w:hint="cs"/>
                <w:rtl/>
              </w:rPr>
              <w:t>;</w:t>
            </w:r>
          </w:p>
        </w:tc>
      </w:tr>
      <w:tr w:rsidR="00D60071" w:rsidRPr="005173AF" w14:paraId="1A68254F" w14:textId="77777777">
        <w:trPr>
          <w:cantSplit/>
          <w:trHeight w:val="60"/>
        </w:trPr>
        <w:tc>
          <w:tcPr>
            <w:tcW w:w="1871" w:type="dxa"/>
          </w:tcPr>
          <w:p w14:paraId="3BFAC7B9" w14:textId="77777777" w:rsidR="00D60071" w:rsidRDefault="00D60071" w:rsidP="00D60071">
            <w:pPr>
              <w:pStyle w:val="TableSideHeading"/>
            </w:pPr>
          </w:p>
        </w:tc>
        <w:tc>
          <w:tcPr>
            <w:tcW w:w="624" w:type="dxa"/>
          </w:tcPr>
          <w:p w14:paraId="1ECCCAA4" w14:textId="77777777" w:rsidR="00D60071" w:rsidRDefault="00D60071" w:rsidP="00D60071">
            <w:pPr>
              <w:pStyle w:val="TableText"/>
            </w:pPr>
          </w:p>
        </w:tc>
        <w:tc>
          <w:tcPr>
            <w:tcW w:w="624" w:type="dxa"/>
          </w:tcPr>
          <w:p w14:paraId="3186C587" w14:textId="77777777" w:rsidR="00D60071" w:rsidRDefault="00D60071" w:rsidP="00D60071">
            <w:pPr>
              <w:pStyle w:val="TableText"/>
            </w:pPr>
          </w:p>
        </w:tc>
        <w:tc>
          <w:tcPr>
            <w:tcW w:w="624" w:type="dxa"/>
          </w:tcPr>
          <w:p w14:paraId="1A549E9E" w14:textId="77777777" w:rsidR="00D60071" w:rsidRDefault="00D60071" w:rsidP="00D60071">
            <w:pPr>
              <w:pStyle w:val="TableText"/>
            </w:pPr>
          </w:p>
        </w:tc>
        <w:tc>
          <w:tcPr>
            <w:tcW w:w="624" w:type="dxa"/>
          </w:tcPr>
          <w:p w14:paraId="3B55CD52" w14:textId="77777777" w:rsidR="00D60071" w:rsidRDefault="00D60071" w:rsidP="00D60071">
            <w:pPr>
              <w:pStyle w:val="TableText"/>
            </w:pPr>
          </w:p>
        </w:tc>
        <w:tc>
          <w:tcPr>
            <w:tcW w:w="624" w:type="dxa"/>
          </w:tcPr>
          <w:p w14:paraId="65B285EC" w14:textId="77777777" w:rsidR="00D60071" w:rsidRDefault="00D60071" w:rsidP="00D60071">
            <w:pPr>
              <w:pStyle w:val="TableText"/>
            </w:pPr>
          </w:p>
        </w:tc>
        <w:tc>
          <w:tcPr>
            <w:tcW w:w="624" w:type="dxa"/>
          </w:tcPr>
          <w:p w14:paraId="0CC8A559" w14:textId="77777777" w:rsidR="00D60071" w:rsidRDefault="00D60071" w:rsidP="00D60071">
            <w:pPr>
              <w:pStyle w:val="TableText"/>
            </w:pPr>
          </w:p>
        </w:tc>
        <w:tc>
          <w:tcPr>
            <w:tcW w:w="4026" w:type="dxa"/>
          </w:tcPr>
          <w:p w14:paraId="087C0F6B" w14:textId="77777777" w:rsidR="00D60071" w:rsidRPr="001800A0" w:rsidRDefault="00D60071" w:rsidP="00DF05A4">
            <w:pPr>
              <w:pStyle w:val="TableBlock"/>
              <w:numPr>
                <w:ilvl w:val="0"/>
                <w:numId w:val="26"/>
              </w:numPr>
              <w:tabs>
                <w:tab w:val="left" w:pos="624"/>
              </w:tabs>
              <w:autoSpaceDE w:val="0"/>
              <w:autoSpaceDN w:val="0"/>
              <w:adjustRightInd w:val="0"/>
              <w:contextualSpacing w:val="0"/>
              <w:textAlignment w:val="center"/>
              <w:rPr>
                <w:sz w:val="26"/>
                <w:rtl/>
              </w:rPr>
            </w:pPr>
            <w:r w:rsidRPr="00183B8C">
              <w:rPr>
                <w:rFonts w:hint="cs"/>
                <w:sz w:val="26"/>
                <w:rtl/>
              </w:rPr>
              <w:t xml:space="preserve">תיאור כללי של כל העברה  </w:t>
            </w:r>
            <w:r>
              <w:rPr>
                <w:rFonts w:hint="cs"/>
                <w:sz w:val="26"/>
                <w:rtl/>
              </w:rPr>
              <w:t>של</w:t>
            </w:r>
            <w:r w:rsidRPr="00183B8C">
              <w:rPr>
                <w:rFonts w:hint="cs"/>
                <w:sz w:val="26"/>
                <w:rtl/>
              </w:rPr>
              <w:t xml:space="preserve"> </w:t>
            </w:r>
            <w:r w:rsidR="006D18D5">
              <w:rPr>
                <w:rFonts w:hint="cs"/>
                <w:sz w:val="26"/>
                <w:rtl/>
              </w:rPr>
              <w:t xml:space="preserve">נכסים </w:t>
            </w:r>
            <w:r w:rsidRPr="00183B8C">
              <w:rPr>
                <w:rFonts w:hint="cs"/>
                <w:sz w:val="26"/>
                <w:rtl/>
              </w:rPr>
              <w:t>בלתי מוחשיים בין ישויות בקבוצה הרב לאומית</w:t>
            </w:r>
            <w:r>
              <w:rPr>
                <w:rFonts w:hint="cs"/>
                <w:sz w:val="26"/>
                <w:rtl/>
              </w:rPr>
              <w:t>,</w:t>
            </w:r>
            <w:r w:rsidRPr="00183B8C">
              <w:rPr>
                <w:rFonts w:hint="cs"/>
                <w:sz w:val="26"/>
                <w:rtl/>
              </w:rPr>
              <w:t xml:space="preserve"> במהלך שנת המס</w:t>
            </w:r>
            <w:r>
              <w:rPr>
                <w:rFonts w:hint="cs"/>
                <w:sz w:val="26"/>
                <w:rtl/>
              </w:rPr>
              <w:t>,</w:t>
            </w:r>
            <w:r w:rsidRPr="00183B8C">
              <w:rPr>
                <w:rFonts w:hint="cs"/>
                <w:sz w:val="26"/>
                <w:rtl/>
              </w:rPr>
              <w:t xml:space="preserve"> </w:t>
            </w:r>
            <w:r w:rsidR="008537A6">
              <w:rPr>
                <w:rFonts w:hint="cs"/>
                <w:sz w:val="26"/>
                <w:rtl/>
              </w:rPr>
              <w:t xml:space="preserve">לרבות </w:t>
            </w:r>
            <w:r>
              <w:rPr>
                <w:rFonts w:hint="cs"/>
                <w:sz w:val="26"/>
                <w:rtl/>
              </w:rPr>
              <w:t>הישויות המעורבות, המדינות בהן ה</w:t>
            </w:r>
            <w:r w:rsidR="006D18D5">
              <w:rPr>
                <w:rFonts w:hint="cs"/>
                <w:sz w:val="26"/>
                <w:rtl/>
              </w:rPr>
              <w:t>נכסים ה</w:t>
            </w:r>
            <w:r>
              <w:rPr>
                <w:rFonts w:hint="cs"/>
                <w:sz w:val="26"/>
                <w:rtl/>
              </w:rPr>
              <w:t>בלתי מוחשיים</w:t>
            </w:r>
            <w:r w:rsidRPr="00183B8C">
              <w:rPr>
                <w:rFonts w:hint="cs"/>
                <w:sz w:val="26"/>
                <w:rtl/>
              </w:rPr>
              <w:t xml:space="preserve"> רשומ</w:t>
            </w:r>
            <w:r>
              <w:rPr>
                <w:rFonts w:hint="cs"/>
                <w:sz w:val="26"/>
                <w:rtl/>
              </w:rPr>
              <w:t>ים</w:t>
            </w:r>
            <w:r w:rsidRPr="00183B8C">
              <w:rPr>
                <w:rFonts w:hint="cs"/>
                <w:sz w:val="26"/>
                <w:rtl/>
              </w:rPr>
              <w:t xml:space="preserve"> והתמורה שניתנה</w:t>
            </w:r>
            <w:r>
              <w:rPr>
                <w:rFonts w:hint="cs"/>
                <w:sz w:val="26"/>
                <w:rtl/>
              </w:rPr>
              <w:t xml:space="preserve"> </w:t>
            </w:r>
            <w:r w:rsidR="00DF05A4">
              <w:rPr>
                <w:rFonts w:hint="cs"/>
                <w:sz w:val="26"/>
                <w:rtl/>
              </w:rPr>
              <w:t xml:space="preserve">בעד </w:t>
            </w:r>
            <w:r w:rsidR="005173AF">
              <w:rPr>
                <w:rFonts w:hint="cs"/>
                <w:sz w:val="26"/>
                <w:rtl/>
              </w:rPr>
              <w:t>ההעברה</w:t>
            </w:r>
            <w:r>
              <w:rPr>
                <w:rFonts w:hint="cs"/>
                <w:sz w:val="26"/>
                <w:rtl/>
              </w:rPr>
              <w:t>;</w:t>
            </w:r>
          </w:p>
        </w:tc>
      </w:tr>
      <w:tr w:rsidR="00D60071" w14:paraId="6DD45AA3" w14:textId="77777777">
        <w:trPr>
          <w:cantSplit/>
          <w:trHeight w:val="60"/>
        </w:trPr>
        <w:tc>
          <w:tcPr>
            <w:tcW w:w="1871" w:type="dxa"/>
          </w:tcPr>
          <w:p w14:paraId="286C0C56" w14:textId="77777777" w:rsidR="00D60071" w:rsidRDefault="00D60071">
            <w:pPr>
              <w:pStyle w:val="TableSideHeading"/>
            </w:pPr>
          </w:p>
        </w:tc>
        <w:tc>
          <w:tcPr>
            <w:tcW w:w="624" w:type="dxa"/>
          </w:tcPr>
          <w:p w14:paraId="54220167" w14:textId="77777777" w:rsidR="00D60071" w:rsidRDefault="00D60071">
            <w:pPr>
              <w:pStyle w:val="TableText"/>
            </w:pPr>
          </w:p>
        </w:tc>
        <w:tc>
          <w:tcPr>
            <w:tcW w:w="624" w:type="dxa"/>
          </w:tcPr>
          <w:p w14:paraId="379CB52B" w14:textId="77777777" w:rsidR="00D60071" w:rsidRDefault="00D60071">
            <w:pPr>
              <w:pStyle w:val="TableText"/>
            </w:pPr>
          </w:p>
        </w:tc>
        <w:tc>
          <w:tcPr>
            <w:tcW w:w="624" w:type="dxa"/>
          </w:tcPr>
          <w:p w14:paraId="11DF09EA" w14:textId="77777777" w:rsidR="00D60071" w:rsidRDefault="00D60071">
            <w:pPr>
              <w:pStyle w:val="TableText"/>
            </w:pPr>
          </w:p>
        </w:tc>
        <w:tc>
          <w:tcPr>
            <w:tcW w:w="624" w:type="dxa"/>
          </w:tcPr>
          <w:p w14:paraId="348C20F0" w14:textId="77777777" w:rsidR="00D60071" w:rsidRDefault="00D60071">
            <w:pPr>
              <w:pStyle w:val="TableText"/>
            </w:pPr>
          </w:p>
        </w:tc>
        <w:tc>
          <w:tcPr>
            <w:tcW w:w="624" w:type="dxa"/>
          </w:tcPr>
          <w:p w14:paraId="7ED8633C" w14:textId="77777777" w:rsidR="00D60071" w:rsidRDefault="00D60071">
            <w:pPr>
              <w:pStyle w:val="TableText"/>
            </w:pPr>
          </w:p>
        </w:tc>
        <w:tc>
          <w:tcPr>
            <w:tcW w:w="4650" w:type="dxa"/>
            <w:gridSpan w:val="2"/>
          </w:tcPr>
          <w:p w14:paraId="4E640303" w14:textId="77777777" w:rsidR="00D60071" w:rsidRDefault="00D60071" w:rsidP="00D60071">
            <w:pPr>
              <w:pStyle w:val="TableBlock"/>
              <w:numPr>
                <w:ilvl w:val="0"/>
                <w:numId w:val="24"/>
              </w:numPr>
              <w:tabs>
                <w:tab w:val="left" w:pos="624"/>
              </w:tabs>
            </w:pPr>
            <w:r>
              <w:rPr>
                <w:rFonts w:hint="cs"/>
                <w:rtl/>
              </w:rPr>
              <w:t>מידע אודות פעילות מימון על ידי</w:t>
            </w:r>
            <w:r w:rsidRPr="009D0B14">
              <w:rPr>
                <w:rFonts w:hint="cs"/>
                <w:rtl/>
              </w:rPr>
              <w:t xml:space="preserve"> ישו</w:t>
            </w:r>
            <w:r>
              <w:rPr>
                <w:rFonts w:hint="cs"/>
                <w:rtl/>
              </w:rPr>
              <w:t>ת ב</w:t>
            </w:r>
            <w:r w:rsidRPr="009D0B14">
              <w:rPr>
                <w:rFonts w:hint="cs"/>
                <w:rtl/>
              </w:rPr>
              <w:t xml:space="preserve">קבוצה הרב לאומית, </w:t>
            </w:r>
            <w:r>
              <w:rPr>
                <w:rFonts w:hint="cs"/>
                <w:rtl/>
              </w:rPr>
              <w:t xml:space="preserve">או עבורה, </w:t>
            </w:r>
            <w:r w:rsidRPr="009D0B14">
              <w:rPr>
                <w:rFonts w:hint="cs"/>
                <w:rtl/>
              </w:rPr>
              <w:t>לרבות:</w:t>
            </w:r>
          </w:p>
        </w:tc>
      </w:tr>
      <w:tr w:rsidR="00D60071" w14:paraId="5D907E86" w14:textId="77777777">
        <w:trPr>
          <w:cantSplit/>
          <w:trHeight w:val="60"/>
        </w:trPr>
        <w:tc>
          <w:tcPr>
            <w:tcW w:w="1871" w:type="dxa"/>
          </w:tcPr>
          <w:p w14:paraId="06A6032C" w14:textId="77777777" w:rsidR="00D60071" w:rsidRDefault="00D60071" w:rsidP="00D60071">
            <w:pPr>
              <w:pStyle w:val="TableSideHeading"/>
            </w:pPr>
          </w:p>
        </w:tc>
        <w:tc>
          <w:tcPr>
            <w:tcW w:w="624" w:type="dxa"/>
          </w:tcPr>
          <w:p w14:paraId="29D46E73" w14:textId="77777777" w:rsidR="00D60071" w:rsidRDefault="00D60071" w:rsidP="00D60071">
            <w:pPr>
              <w:pStyle w:val="TableText"/>
            </w:pPr>
          </w:p>
        </w:tc>
        <w:tc>
          <w:tcPr>
            <w:tcW w:w="624" w:type="dxa"/>
          </w:tcPr>
          <w:p w14:paraId="559E05D9" w14:textId="77777777" w:rsidR="00D60071" w:rsidRDefault="00D60071" w:rsidP="00D60071">
            <w:pPr>
              <w:pStyle w:val="TableText"/>
            </w:pPr>
          </w:p>
        </w:tc>
        <w:tc>
          <w:tcPr>
            <w:tcW w:w="624" w:type="dxa"/>
          </w:tcPr>
          <w:p w14:paraId="2A532808" w14:textId="77777777" w:rsidR="00D60071" w:rsidRDefault="00D60071" w:rsidP="00D60071">
            <w:pPr>
              <w:pStyle w:val="TableText"/>
            </w:pPr>
          </w:p>
        </w:tc>
        <w:tc>
          <w:tcPr>
            <w:tcW w:w="624" w:type="dxa"/>
          </w:tcPr>
          <w:p w14:paraId="53337859" w14:textId="77777777" w:rsidR="00D60071" w:rsidRDefault="00D60071" w:rsidP="00D60071">
            <w:pPr>
              <w:pStyle w:val="TableText"/>
            </w:pPr>
          </w:p>
        </w:tc>
        <w:tc>
          <w:tcPr>
            <w:tcW w:w="624" w:type="dxa"/>
          </w:tcPr>
          <w:p w14:paraId="789CC612" w14:textId="77777777" w:rsidR="00D60071" w:rsidRDefault="00D60071" w:rsidP="00D60071">
            <w:pPr>
              <w:pStyle w:val="TableText"/>
            </w:pPr>
          </w:p>
        </w:tc>
        <w:tc>
          <w:tcPr>
            <w:tcW w:w="624" w:type="dxa"/>
          </w:tcPr>
          <w:p w14:paraId="31679547" w14:textId="77777777" w:rsidR="00D60071" w:rsidRDefault="00D60071" w:rsidP="00D60071">
            <w:pPr>
              <w:pStyle w:val="TableText"/>
            </w:pPr>
          </w:p>
        </w:tc>
        <w:tc>
          <w:tcPr>
            <w:tcW w:w="4026" w:type="dxa"/>
          </w:tcPr>
          <w:p w14:paraId="6DD69EA1" w14:textId="77777777" w:rsidR="00D60071" w:rsidRDefault="00D60071" w:rsidP="00D60071">
            <w:pPr>
              <w:pStyle w:val="TableBlock"/>
              <w:numPr>
                <w:ilvl w:val="0"/>
                <w:numId w:val="27"/>
              </w:numPr>
              <w:tabs>
                <w:tab w:val="left" w:pos="624"/>
              </w:tabs>
              <w:autoSpaceDE w:val="0"/>
              <w:autoSpaceDN w:val="0"/>
              <w:adjustRightInd w:val="0"/>
              <w:contextualSpacing w:val="0"/>
              <w:textAlignment w:val="center"/>
            </w:pPr>
            <w:r w:rsidRPr="00191C3F">
              <w:rPr>
                <w:rFonts w:hint="cs"/>
                <w:rtl/>
              </w:rPr>
              <w:t xml:space="preserve">תיאור כללי של אופן מימון </w:t>
            </w:r>
            <w:r>
              <w:rPr>
                <w:rFonts w:hint="cs"/>
                <w:rtl/>
              </w:rPr>
              <w:t>הישויות ב</w:t>
            </w:r>
            <w:r w:rsidRPr="00191C3F">
              <w:rPr>
                <w:rFonts w:hint="cs"/>
                <w:rtl/>
              </w:rPr>
              <w:t xml:space="preserve">קבוצה הרב לאומית לרבות </w:t>
            </w:r>
            <w:r w:rsidR="000935A0">
              <w:rPr>
                <w:rFonts w:hint="cs"/>
                <w:rtl/>
              </w:rPr>
              <w:t>עסקאות</w:t>
            </w:r>
            <w:r w:rsidRPr="00191C3F">
              <w:rPr>
                <w:rFonts w:hint="cs"/>
                <w:rtl/>
              </w:rPr>
              <w:t xml:space="preserve"> מימון  עם מלווים</w:t>
            </w:r>
            <w:r>
              <w:rPr>
                <w:rFonts w:hint="cs"/>
                <w:rtl/>
              </w:rPr>
              <w:t xml:space="preserve"> שאינם ישויות בקבוצה הרב לאומית;</w:t>
            </w:r>
          </w:p>
        </w:tc>
      </w:tr>
      <w:tr w:rsidR="00D60071" w14:paraId="198E2FC9" w14:textId="77777777">
        <w:trPr>
          <w:cantSplit/>
          <w:trHeight w:val="60"/>
        </w:trPr>
        <w:tc>
          <w:tcPr>
            <w:tcW w:w="1871" w:type="dxa"/>
          </w:tcPr>
          <w:p w14:paraId="0B52B439" w14:textId="77777777" w:rsidR="00D60071" w:rsidRDefault="00D60071" w:rsidP="00D60071">
            <w:pPr>
              <w:pStyle w:val="TableSideHeading"/>
            </w:pPr>
          </w:p>
        </w:tc>
        <w:tc>
          <w:tcPr>
            <w:tcW w:w="624" w:type="dxa"/>
          </w:tcPr>
          <w:p w14:paraId="7ED8A481" w14:textId="77777777" w:rsidR="00D60071" w:rsidRDefault="00D60071" w:rsidP="00D60071">
            <w:pPr>
              <w:pStyle w:val="TableText"/>
            </w:pPr>
          </w:p>
        </w:tc>
        <w:tc>
          <w:tcPr>
            <w:tcW w:w="624" w:type="dxa"/>
          </w:tcPr>
          <w:p w14:paraId="582BD2BC" w14:textId="77777777" w:rsidR="00D60071" w:rsidRDefault="00D60071" w:rsidP="00D60071">
            <w:pPr>
              <w:pStyle w:val="TableText"/>
            </w:pPr>
          </w:p>
        </w:tc>
        <w:tc>
          <w:tcPr>
            <w:tcW w:w="624" w:type="dxa"/>
          </w:tcPr>
          <w:p w14:paraId="24406977" w14:textId="77777777" w:rsidR="00D60071" w:rsidRDefault="00D60071" w:rsidP="00D60071">
            <w:pPr>
              <w:pStyle w:val="TableText"/>
            </w:pPr>
          </w:p>
        </w:tc>
        <w:tc>
          <w:tcPr>
            <w:tcW w:w="624" w:type="dxa"/>
          </w:tcPr>
          <w:p w14:paraId="561AB4AC" w14:textId="77777777" w:rsidR="00D60071" w:rsidRDefault="00D60071" w:rsidP="00D60071">
            <w:pPr>
              <w:pStyle w:val="TableText"/>
            </w:pPr>
          </w:p>
        </w:tc>
        <w:tc>
          <w:tcPr>
            <w:tcW w:w="624" w:type="dxa"/>
          </w:tcPr>
          <w:p w14:paraId="59921E66" w14:textId="77777777" w:rsidR="00D60071" w:rsidRDefault="00D60071" w:rsidP="00D60071">
            <w:pPr>
              <w:pStyle w:val="TableText"/>
            </w:pPr>
          </w:p>
        </w:tc>
        <w:tc>
          <w:tcPr>
            <w:tcW w:w="624" w:type="dxa"/>
          </w:tcPr>
          <w:p w14:paraId="55A508D1" w14:textId="77777777" w:rsidR="00D60071" w:rsidRDefault="00D60071" w:rsidP="00D60071">
            <w:pPr>
              <w:pStyle w:val="TableText"/>
            </w:pPr>
          </w:p>
        </w:tc>
        <w:tc>
          <w:tcPr>
            <w:tcW w:w="4026" w:type="dxa"/>
          </w:tcPr>
          <w:p w14:paraId="37502AFE" w14:textId="77777777" w:rsidR="00D60071" w:rsidRPr="00191C3F" w:rsidRDefault="00D60071" w:rsidP="00D60071">
            <w:pPr>
              <w:pStyle w:val="TableBlock"/>
              <w:numPr>
                <w:ilvl w:val="0"/>
                <w:numId w:val="27"/>
              </w:numPr>
              <w:tabs>
                <w:tab w:val="left" w:pos="624"/>
              </w:tabs>
              <w:autoSpaceDE w:val="0"/>
              <w:autoSpaceDN w:val="0"/>
              <w:adjustRightInd w:val="0"/>
              <w:contextualSpacing w:val="0"/>
              <w:textAlignment w:val="center"/>
              <w:rPr>
                <w:rtl/>
              </w:rPr>
            </w:pPr>
            <w:r>
              <w:rPr>
                <w:rFonts w:hint="cs"/>
                <w:rtl/>
              </w:rPr>
              <w:t>פירוט</w:t>
            </w:r>
            <w:r w:rsidRPr="00191C3F">
              <w:rPr>
                <w:rFonts w:hint="cs"/>
                <w:rtl/>
              </w:rPr>
              <w:t xml:space="preserve"> הישויות בקבוצה הרב לאומית </w:t>
            </w:r>
            <w:r>
              <w:rPr>
                <w:rFonts w:hint="cs"/>
                <w:rtl/>
              </w:rPr>
              <w:t xml:space="preserve">המעניקות שירותים פיננסיים </w:t>
            </w:r>
            <w:r w:rsidRPr="00191C3F">
              <w:rPr>
                <w:rFonts w:hint="cs"/>
                <w:rtl/>
              </w:rPr>
              <w:t>עבור הקבוצה  לרבות המדינות בהן ה</w:t>
            </w:r>
            <w:r w:rsidR="00E211A0">
              <w:rPr>
                <w:rFonts w:hint="cs"/>
                <w:rtl/>
              </w:rPr>
              <w:t>ן</w:t>
            </w:r>
            <w:r w:rsidRPr="00191C3F">
              <w:rPr>
                <w:rFonts w:hint="cs"/>
                <w:rtl/>
              </w:rPr>
              <w:t xml:space="preserve"> מאוגדות, ומקום ניהול</w:t>
            </w:r>
            <w:r>
              <w:rPr>
                <w:rFonts w:hint="cs"/>
                <w:rtl/>
              </w:rPr>
              <w:t>ן בפועל;</w:t>
            </w:r>
          </w:p>
        </w:tc>
      </w:tr>
      <w:tr w:rsidR="00D60071" w14:paraId="0CA2673E" w14:textId="77777777">
        <w:trPr>
          <w:cantSplit/>
          <w:trHeight w:val="60"/>
        </w:trPr>
        <w:tc>
          <w:tcPr>
            <w:tcW w:w="1871" w:type="dxa"/>
          </w:tcPr>
          <w:p w14:paraId="7ECBFFDE" w14:textId="77777777" w:rsidR="00D60071" w:rsidRDefault="00D60071" w:rsidP="00D60071">
            <w:pPr>
              <w:pStyle w:val="TableSideHeading"/>
            </w:pPr>
          </w:p>
        </w:tc>
        <w:tc>
          <w:tcPr>
            <w:tcW w:w="624" w:type="dxa"/>
          </w:tcPr>
          <w:p w14:paraId="7323DD48" w14:textId="77777777" w:rsidR="00D60071" w:rsidRDefault="00D60071" w:rsidP="00D60071">
            <w:pPr>
              <w:pStyle w:val="TableText"/>
            </w:pPr>
          </w:p>
        </w:tc>
        <w:tc>
          <w:tcPr>
            <w:tcW w:w="624" w:type="dxa"/>
          </w:tcPr>
          <w:p w14:paraId="41ED1A41" w14:textId="77777777" w:rsidR="00D60071" w:rsidRDefault="00D60071" w:rsidP="00D60071">
            <w:pPr>
              <w:pStyle w:val="TableText"/>
            </w:pPr>
          </w:p>
        </w:tc>
        <w:tc>
          <w:tcPr>
            <w:tcW w:w="624" w:type="dxa"/>
          </w:tcPr>
          <w:p w14:paraId="4014F645" w14:textId="77777777" w:rsidR="00D60071" w:rsidRDefault="00D60071" w:rsidP="00D60071">
            <w:pPr>
              <w:pStyle w:val="TableText"/>
            </w:pPr>
          </w:p>
        </w:tc>
        <w:tc>
          <w:tcPr>
            <w:tcW w:w="624" w:type="dxa"/>
          </w:tcPr>
          <w:p w14:paraId="7F3899EB" w14:textId="77777777" w:rsidR="00D60071" w:rsidRDefault="00D60071" w:rsidP="00D60071">
            <w:pPr>
              <w:pStyle w:val="TableText"/>
            </w:pPr>
          </w:p>
        </w:tc>
        <w:tc>
          <w:tcPr>
            <w:tcW w:w="624" w:type="dxa"/>
          </w:tcPr>
          <w:p w14:paraId="3975B8F1" w14:textId="77777777" w:rsidR="00D60071" w:rsidRDefault="00D60071" w:rsidP="00D60071">
            <w:pPr>
              <w:pStyle w:val="TableText"/>
            </w:pPr>
          </w:p>
        </w:tc>
        <w:tc>
          <w:tcPr>
            <w:tcW w:w="624" w:type="dxa"/>
          </w:tcPr>
          <w:p w14:paraId="7444D708" w14:textId="77777777" w:rsidR="00D60071" w:rsidRDefault="00D60071" w:rsidP="00D60071">
            <w:pPr>
              <w:pStyle w:val="TableText"/>
            </w:pPr>
          </w:p>
        </w:tc>
        <w:tc>
          <w:tcPr>
            <w:tcW w:w="4026" w:type="dxa"/>
          </w:tcPr>
          <w:p w14:paraId="0FFA33D0" w14:textId="77777777" w:rsidR="00D60071" w:rsidRPr="00B2312D" w:rsidRDefault="00D60071" w:rsidP="00D60071">
            <w:pPr>
              <w:pStyle w:val="TableBlock"/>
              <w:numPr>
                <w:ilvl w:val="0"/>
                <w:numId w:val="27"/>
              </w:numPr>
              <w:tabs>
                <w:tab w:val="left" w:pos="624"/>
              </w:tabs>
              <w:autoSpaceDE w:val="0"/>
              <w:autoSpaceDN w:val="0"/>
              <w:adjustRightInd w:val="0"/>
              <w:contextualSpacing w:val="0"/>
              <w:textAlignment w:val="center"/>
              <w:rPr>
                <w:rtl/>
              </w:rPr>
            </w:pPr>
            <w:r w:rsidRPr="00B2312D">
              <w:rPr>
                <w:rFonts w:hint="cs"/>
                <w:rtl/>
              </w:rPr>
              <w:t>תיאור כללי של מדיניות קביעת תנאי השוק של הקבוצה הרב לאומית ביחס ל</w:t>
            </w:r>
            <w:r w:rsidR="005173AF" w:rsidRPr="00B2312D">
              <w:rPr>
                <w:rFonts w:hint="cs"/>
                <w:rtl/>
              </w:rPr>
              <w:t xml:space="preserve">עסקאות </w:t>
            </w:r>
            <w:r w:rsidRPr="00B2312D">
              <w:rPr>
                <w:rFonts w:hint="cs"/>
                <w:rtl/>
              </w:rPr>
              <w:t xml:space="preserve"> מימון בין ישויות הקבוצה;</w:t>
            </w:r>
          </w:p>
        </w:tc>
      </w:tr>
      <w:tr w:rsidR="00D60071" w14:paraId="1B8DBD7B" w14:textId="77777777">
        <w:trPr>
          <w:cantSplit/>
          <w:trHeight w:val="60"/>
        </w:trPr>
        <w:tc>
          <w:tcPr>
            <w:tcW w:w="1871" w:type="dxa"/>
          </w:tcPr>
          <w:p w14:paraId="4D5F5D3C" w14:textId="77777777" w:rsidR="00D60071" w:rsidRDefault="00D60071">
            <w:pPr>
              <w:pStyle w:val="TableSideHeading"/>
            </w:pPr>
          </w:p>
        </w:tc>
        <w:tc>
          <w:tcPr>
            <w:tcW w:w="624" w:type="dxa"/>
          </w:tcPr>
          <w:p w14:paraId="5E88AAF9" w14:textId="77777777" w:rsidR="00D60071" w:rsidRDefault="00D60071">
            <w:pPr>
              <w:pStyle w:val="TableText"/>
            </w:pPr>
          </w:p>
        </w:tc>
        <w:tc>
          <w:tcPr>
            <w:tcW w:w="624" w:type="dxa"/>
          </w:tcPr>
          <w:p w14:paraId="3C140D0A" w14:textId="77777777" w:rsidR="00D60071" w:rsidRDefault="00D60071">
            <w:pPr>
              <w:pStyle w:val="TableText"/>
            </w:pPr>
          </w:p>
        </w:tc>
        <w:tc>
          <w:tcPr>
            <w:tcW w:w="624" w:type="dxa"/>
          </w:tcPr>
          <w:p w14:paraId="684518C4" w14:textId="77777777" w:rsidR="00D60071" w:rsidRDefault="00D60071">
            <w:pPr>
              <w:pStyle w:val="TableText"/>
            </w:pPr>
          </w:p>
        </w:tc>
        <w:tc>
          <w:tcPr>
            <w:tcW w:w="624" w:type="dxa"/>
          </w:tcPr>
          <w:p w14:paraId="3DD3F2C4" w14:textId="77777777" w:rsidR="00D60071" w:rsidRDefault="00D60071">
            <w:pPr>
              <w:pStyle w:val="TableText"/>
            </w:pPr>
          </w:p>
        </w:tc>
        <w:tc>
          <w:tcPr>
            <w:tcW w:w="624" w:type="dxa"/>
          </w:tcPr>
          <w:p w14:paraId="071521B2" w14:textId="77777777" w:rsidR="00D60071" w:rsidRDefault="00D60071">
            <w:pPr>
              <w:pStyle w:val="TableText"/>
            </w:pPr>
          </w:p>
        </w:tc>
        <w:tc>
          <w:tcPr>
            <w:tcW w:w="4650" w:type="dxa"/>
            <w:gridSpan w:val="2"/>
          </w:tcPr>
          <w:p w14:paraId="50BA70FF" w14:textId="77777777" w:rsidR="00D60071" w:rsidRPr="00B2312D" w:rsidRDefault="00D60071" w:rsidP="00404E30">
            <w:pPr>
              <w:pStyle w:val="TableBlock"/>
              <w:numPr>
                <w:ilvl w:val="0"/>
                <w:numId w:val="24"/>
              </w:numPr>
              <w:tabs>
                <w:tab w:val="left" w:pos="624"/>
              </w:tabs>
            </w:pPr>
            <w:r w:rsidRPr="00B2312D">
              <w:rPr>
                <w:rFonts w:hint="cs"/>
                <w:rtl/>
              </w:rPr>
              <w:t>פירוט מדיניות הקבוצה הרב לאומית בעניין הכוונת פעילות עסקיה, בהתאם לכללי המס החלים עליה , לרבות:</w:t>
            </w:r>
          </w:p>
        </w:tc>
      </w:tr>
      <w:tr w:rsidR="00D60071" w14:paraId="60317861" w14:textId="77777777">
        <w:trPr>
          <w:cantSplit/>
          <w:trHeight w:val="60"/>
        </w:trPr>
        <w:tc>
          <w:tcPr>
            <w:tcW w:w="1871" w:type="dxa"/>
          </w:tcPr>
          <w:p w14:paraId="27AADF2B" w14:textId="77777777" w:rsidR="00D60071" w:rsidRDefault="00D60071" w:rsidP="00D60071">
            <w:pPr>
              <w:pStyle w:val="TableSideHeading"/>
            </w:pPr>
          </w:p>
        </w:tc>
        <w:tc>
          <w:tcPr>
            <w:tcW w:w="624" w:type="dxa"/>
          </w:tcPr>
          <w:p w14:paraId="61403309" w14:textId="77777777" w:rsidR="00D60071" w:rsidRDefault="00D60071" w:rsidP="00D60071">
            <w:pPr>
              <w:pStyle w:val="TableText"/>
            </w:pPr>
          </w:p>
        </w:tc>
        <w:tc>
          <w:tcPr>
            <w:tcW w:w="624" w:type="dxa"/>
          </w:tcPr>
          <w:p w14:paraId="76F2C5DF" w14:textId="77777777" w:rsidR="00D60071" w:rsidRDefault="00D60071" w:rsidP="00D60071">
            <w:pPr>
              <w:pStyle w:val="TableText"/>
            </w:pPr>
          </w:p>
        </w:tc>
        <w:tc>
          <w:tcPr>
            <w:tcW w:w="624" w:type="dxa"/>
          </w:tcPr>
          <w:p w14:paraId="5A9DE18A" w14:textId="77777777" w:rsidR="00D60071" w:rsidRDefault="00D60071" w:rsidP="00D60071">
            <w:pPr>
              <w:pStyle w:val="TableText"/>
            </w:pPr>
          </w:p>
        </w:tc>
        <w:tc>
          <w:tcPr>
            <w:tcW w:w="624" w:type="dxa"/>
          </w:tcPr>
          <w:p w14:paraId="75E249C4" w14:textId="77777777" w:rsidR="00D60071" w:rsidRDefault="00D60071" w:rsidP="00D60071">
            <w:pPr>
              <w:pStyle w:val="TableText"/>
            </w:pPr>
          </w:p>
        </w:tc>
        <w:tc>
          <w:tcPr>
            <w:tcW w:w="624" w:type="dxa"/>
          </w:tcPr>
          <w:p w14:paraId="0534CDDB" w14:textId="77777777" w:rsidR="00D60071" w:rsidRDefault="00D60071" w:rsidP="00D60071">
            <w:pPr>
              <w:pStyle w:val="TableText"/>
            </w:pPr>
          </w:p>
        </w:tc>
        <w:tc>
          <w:tcPr>
            <w:tcW w:w="624" w:type="dxa"/>
          </w:tcPr>
          <w:p w14:paraId="55CA0287" w14:textId="77777777" w:rsidR="00D60071" w:rsidRDefault="00D60071" w:rsidP="00D60071">
            <w:pPr>
              <w:pStyle w:val="TableText"/>
            </w:pPr>
          </w:p>
        </w:tc>
        <w:tc>
          <w:tcPr>
            <w:tcW w:w="4026" w:type="dxa"/>
          </w:tcPr>
          <w:p w14:paraId="41CFE92F" w14:textId="77777777" w:rsidR="00D60071" w:rsidRDefault="00D60071" w:rsidP="00D60071">
            <w:pPr>
              <w:pStyle w:val="TableBlock"/>
              <w:numPr>
                <w:ilvl w:val="0"/>
                <w:numId w:val="28"/>
              </w:numPr>
              <w:tabs>
                <w:tab w:val="left" w:pos="624"/>
              </w:tabs>
              <w:autoSpaceDE w:val="0"/>
              <w:autoSpaceDN w:val="0"/>
              <w:adjustRightInd w:val="0"/>
              <w:contextualSpacing w:val="0"/>
              <w:textAlignment w:val="center"/>
            </w:pPr>
            <w:r>
              <w:rPr>
                <w:rFonts w:hint="cs"/>
                <w:rtl/>
              </w:rPr>
              <w:t xml:space="preserve">צירוף </w:t>
            </w:r>
            <w:r w:rsidRPr="00191C3F">
              <w:rPr>
                <w:rFonts w:hint="cs"/>
                <w:rtl/>
              </w:rPr>
              <w:t>דוחות כספיים מאוחדים של הקבוצה הרב לאומית לשנת המס אשר הוכנו ל</w:t>
            </w:r>
            <w:r>
              <w:rPr>
                <w:rFonts w:hint="cs"/>
                <w:rtl/>
              </w:rPr>
              <w:t>כל מטרה שהיא;</w:t>
            </w:r>
          </w:p>
        </w:tc>
      </w:tr>
      <w:tr w:rsidR="00D60071" w14:paraId="3FDC746E" w14:textId="77777777">
        <w:trPr>
          <w:cantSplit/>
          <w:trHeight w:val="60"/>
        </w:trPr>
        <w:tc>
          <w:tcPr>
            <w:tcW w:w="1871" w:type="dxa"/>
          </w:tcPr>
          <w:p w14:paraId="64E405F1" w14:textId="77777777" w:rsidR="00D60071" w:rsidRDefault="00D60071" w:rsidP="00D60071">
            <w:pPr>
              <w:pStyle w:val="TableSideHeading"/>
            </w:pPr>
          </w:p>
        </w:tc>
        <w:tc>
          <w:tcPr>
            <w:tcW w:w="624" w:type="dxa"/>
          </w:tcPr>
          <w:p w14:paraId="1AC4CD30" w14:textId="77777777" w:rsidR="00D60071" w:rsidRDefault="00D60071" w:rsidP="00D60071">
            <w:pPr>
              <w:pStyle w:val="TableText"/>
            </w:pPr>
          </w:p>
        </w:tc>
        <w:tc>
          <w:tcPr>
            <w:tcW w:w="624" w:type="dxa"/>
          </w:tcPr>
          <w:p w14:paraId="0B006DBA" w14:textId="77777777" w:rsidR="00D60071" w:rsidRDefault="00D60071" w:rsidP="00D60071">
            <w:pPr>
              <w:pStyle w:val="TableText"/>
            </w:pPr>
          </w:p>
        </w:tc>
        <w:tc>
          <w:tcPr>
            <w:tcW w:w="624" w:type="dxa"/>
          </w:tcPr>
          <w:p w14:paraId="2A7E3065" w14:textId="77777777" w:rsidR="00D60071" w:rsidRDefault="00D60071" w:rsidP="00D60071">
            <w:pPr>
              <w:pStyle w:val="TableText"/>
            </w:pPr>
          </w:p>
        </w:tc>
        <w:tc>
          <w:tcPr>
            <w:tcW w:w="624" w:type="dxa"/>
          </w:tcPr>
          <w:p w14:paraId="46135288" w14:textId="77777777" w:rsidR="00D60071" w:rsidRDefault="00D60071" w:rsidP="00D60071">
            <w:pPr>
              <w:pStyle w:val="TableText"/>
            </w:pPr>
          </w:p>
        </w:tc>
        <w:tc>
          <w:tcPr>
            <w:tcW w:w="624" w:type="dxa"/>
          </w:tcPr>
          <w:p w14:paraId="6E51FBF4" w14:textId="77777777" w:rsidR="00D60071" w:rsidRDefault="00D60071" w:rsidP="00D60071">
            <w:pPr>
              <w:pStyle w:val="TableText"/>
            </w:pPr>
          </w:p>
        </w:tc>
        <w:tc>
          <w:tcPr>
            <w:tcW w:w="624" w:type="dxa"/>
          </w:tcPr>
          <w:p w14:paraId="5A3BA398" w14:textId="77777777" w:rsidR="00D60071" w:rsidRDefault="00D60071" w:rsidP="00D60071">
            <w:pPr>
              <w:pStyle w:val="TableText"/>
            </w:pPr>
          </w:p>
        </w:tc>
        <w:tc>
          <w:tcPr>
            <w:tcW w:w="4026" w:type="dxa"/>
          </w:tcPr>
          <w:p w14:paraId="3CFFE40C" w14:textId="77777777" w:rsidR="00D60071" w:rsidRPr="00191C3F" w:rsidRDefault="008537A6" w:rsidP="00D60071">
            <w:pPr>
              <w:pStyle w:val="TableBlock"/>
              <w:numPr>
                <w:ilvl w:val="0"/>
                <w:numId w:val="28"/>
              </w:numPr>
              <w:tabs>
                <w:tab w:val="left" w:pos="624"/>
              </w:tabs>
              <w:autoSpaceDE w:val="0"/>
              <w:autoSpaceDN w:val="0"/>
              <w:adjustRightInd w:val="0"/>
              <w:contextualSpacing w:val="0"/>
              <w:textAlignment w:val="center"/>
              <w:rPr>
                <w:rtl/>
              </w:rPr>
            </w:pPr>
            <w:r>
              <w:rPr>
                <w:rFonts w:hint="cs"/>
                <w:rtl/>
              </w:rPr>
              <w:t>פירוט</w:t>
            </w:r>
            <w:r w:rsidR="00D60071" w:rsidRPr="00191C3F">
              <w:rPr>
                <w:rFonts w:hint="cs"/>
                <w:rtl/>
              </w:rPr>
              <w:t xml:space="preserve"> כל החלטות המיסוי </w:t>
            </w:r>
            <w:r w:rsidR="00D60071">
              <w:rPr>
                <w:rFonts w:hint="cs"/>
                <w:rtl/>
              </w:rPr>
              <w:t xml:space="preserve">והאישורים המוקדמים </w:t>
            </w:r>
            <w:r w:rsidR="00D60071" w:rsidRPr="00191C3F">
              <w:rPr>
                <w:rFonts w:hint="cs"/>
                <w:rtl/>
              </w:rPr>
              <w:t>אשר ניתנו לישויות הקבוצה הרב לאומית</w:t>
            </w:r>
            <w:r w:rsidR="00D60071">
              <w:rPr>
                <w:rFonts w:hint="cs"/>
                <w:rtl/>
              </w:rPr>
              <w:t>,</w:t>
            </w:r>
            <w:r w:rsidR="00D60071" w:rsidRPr="00191C3F">
              <w:rPr>
                <w:rFonts w:hint="cs"/>
                <w:rtl/>
              </w:rPr>
              <w:t xml:space="preserve"> </w:t>
            </w:r>
            <w:r w:rsidR="00D60071">
              <w:rPr>
                <w:rFonts w:hint="cs"/>
                <w:rtl/>
              </w:rPr>
              <w:t>בנושא חלוקת</w:t>
            </w:r>
            <w:r w:rsidR="00B85C20">
              <w:rPr>
                <w:rFonts w:hint="cs"/>
                <w:rtl/>
              </w:rPr>
              <w:t xml:space="preserve"> הכנסות בין המדינות</w:t>
            </w:r>
            <w:r w:rsidR="00D60071" w:rsidRPr="00191C3F">
              <w:rPr>
                <w:rFonts w:hint="cs"/>
                <w:rtl/>
              </w:rPr>
              <w:t>"</w:t>
            </w:r>
            <w:r w:rsidR="00B85C20">
              <w:rPr>
                <w:rFonts w:hint="cs"/>
                <w:rtl/>
              </w:rPr>
              <w:t>;</w:t>
            </w:r>
          </w:p>
        </w:tc>
      </w:tr>
      <w:tr w:rsidR="00D60071" w14:paraId="211E6A93" w14:textId="77777777">
        <w:trPr>
          <w:cantSplit/>
          <w:trHeight w:val="60"/>
        </w:trPr>
        <w:tc>
          <w:tcPr>
            <w:tcW w:w="1871" w:type="dxa"/>
          </w:tcPr>
          <w:p w14:paraId="076B7229" w14:textId="77777777" w:rsidR="00D60071" w:rsidRDefault="00D60071">
            <w:pPr>
              <w:pStyle w:val="TableSideHeading"/>
            </w:pPr>
          </w:p>
        </w:tc>
        <w:tc>
          <w:tcPr>
            <w:tcW w:w="624" w:type="dxa"/>
          </w:tcPr>
          <w:p w14:paraId="40074C56" w14:textId="77777777" w:rsidR="00D60071" w:rsidRDefault="00D60071">
            <w:pPr>
              <w:pStyle w:val="TableText"/>
            </w:pPr>
          </w:p>
        </w:tc>
        <w:tc>
          <w:tcPr>
            <w:tcW w:w="624" w:type="dxa"/>
          </w:tcPr>
          <w:p w14:paraId="730856FB" w14:textId="77777777" w:rsidR="00D60071" w:rsidRDefault="00D60071">
            <w:pPr>
              <w:pStyle w:val="TableText"/>
            </w:pPr>
          </w:p>
        </w:tc>
        <w:tc>
          <w:tcPr>
            <w:tcW w:w="6522" w:type="dxa"/>
            <w:gridSpan w:val="5"/>
          </w:tcPr>
          <w:p w14:paraId="21FDCFED" w14:textId="77777777" w:rsidR="00D60071" w:rsidRDefault="00D60071" w:rsidP="00404E30">
            <w:pPr>
              <w:pStyle w:val="TableBlock"/>
              <w:numPr>
                <w:ilvl w:val="0"/>
                <w:numId w:val="21"/>
              </w:numPr>
              <w:tabs>
                <w:tab w:val="left" w:pos="624"/>
              </w:tabs>
            </w:pPr>
            <w:r>
              <w:rPr>
                <w:rFonts w:hint="cs"/>
                <w:rtl/>
              </w:rPr>
              <w:t>בתקנת משנה (ד) במקום "על ביצוע עסקה בינלאומית" יבוא "</w:t>
            </w:r>
            <w:r w:rsidR="00404E30">
              <w:rPr>
                <w:rFonts w:hint="cs"/>
                <w:rtl/>
              </w:rPr>
              <w:t>על המפורטים בפסקאות (1) עד (2) להלן", ובסופה יבוא:</w:t>
            </w:r>
          </w:p>
        </w:tc>
      </w:tr>
      <w:tr w:rsidR="00D60071" w14:paraId="20C4C079" w14:textId="77777777">
        <w:trPr>
          <w:cantSplit/>
          <w:trHeight w:val="60"/>
        </w:trPr>
        <w:tc>
          <w:tcPr>
            <w:tcW w:w="1871" w:type="dxa"/>
          </w:tcPr>
          <w:p w14:paraId="26EB5B13" w14:textId="77777777" w:rsidR="00D60071" w:rsidRDefault="00D60071">
            <w:pPr>
              <w:pStyle w:val="TableSideHeading"/>
            </w:pPr>
          </w:p>
        </w:tc>
        <w:tc>
          <w:tcPr>
            <w:tcW w:w="624" w:type="dxa"/>
          </w:tcPr>
          <w:p w14:paraId="2E11C14B" w14:textId="77777777" w:rsidR="00D60071" w:rsidRDefault="00D60071">
            <w:pPr>
              <w:pStyle w:val="TableText"/>
            </w:pPr>
          </w:p>
        </w:tc>
        <w:tc>
          <w:tcPr>
            <w:tcW w:w="624" w:type="dxa"/>
          </w:tcPr>
          <w:p w14:paraId="7A312878" w14:textId="77777777" w:rsidR="00D60071" w:rsidRDefault="00D60071">
            <w:pPr>
              <w:pStyle w:val="TableText"/>
            </w:pPr>
          </w:p>
        </w:tc>
        <w:tc>
          <w:tcPr>
            <w:tcW w:w="624" w:type="dxa"/>
          </w:tcPr>
          <w:p w14:paraId="4AEA75B6" w14:textId="77777777" w:rsidR="00D60071" w:rsidRDefault="00D60071">
            <w:pPr>
              <w:pStyle w:val="TableText"/>
            </w:pPr>
          </w:p>
        </w:tc>
        <w:tc>
          <w:tcPr>
            <w:tcW w:w="5898" w:type="dxa"/>
            <w:gridSpan w:val="4"/>
          </w:tcPr>
          <w:p w14:paraId="1FB2932C" w14:textId="77777777" w:rsidR="00D60071" w:rsidRDefault="00404E30" w:rsidP="00B2312D">
            <w:pPr>
              <w:pStyle w:val="TableBlock"/>
              <w:tabs>
                <w:tab w:val="clear" w:pos="624"/>
              </w:tabs>
            </w:pPr>
            <w:r>
              <w:rPr>
                <w:rFonts w:hint="cs"/>
                <w:rtl/>
              </w:rPr>
              <w:t xml:space="preserve">"(1) </w:t>
            </w:r>
            <w:r w:rsidR="00D60071">
              <w:rPr>
                <w:rFonts w:hint="cs"/>
                <w:rtl/>
              </w:rPr>
              <w:t>ביצוע עסקה בינלאומית, מחירה, תנאיה ומחירה ותנאיה בתנאי שוק;</w:t>
            </w:r>
          </w:p>
        </w:tc>
      </w:tr>
      <w:tr w:rsidR="00D60071" w14:paraId="577EB2BA" w14:textId="77777777">
        <w:trPr>
          <w:cantSplit/>
          <w:trHeight w:val="60"/>
        </w:trPr>
        <w:tc>
          <w:tcPr>
            <w:tcW w:w="1871" w:type="dxa"/>
          </w:tcPr>
          <w:p w14:paraId="3718B25B" w14:textId="77777777" w:rsidR="00D60071" w:rsidRDefault="00D60071">
            <w:pPr>
              <w:pStyle w:val="TableSideHeading"/>
            </w:pPr>
          </w:p>
        </w:tc>
        <w:tc>
          <w:tcPr>
            <w:tcW w:w="624" w:type="dxa"/>
          </w:tcPr>
          <w:p w14:paraId="497F2313" w14:textId="77777777" w:rsidR="00D60071" w:rsidRDefault="00D60071" w:rsidP="00D60071">
            <w:pPr>
              <w:pStyle w:val="TableText"/>
            </w:pPr>
          </w:p>
        </w:tc>
        <w:tc>
          <w:tcPr>
            <w:tcW w:w="624" w:type="dxa"/>
          </w:tcPr>
          <w:p w14:paraId="2D717DD3" w14:textId="77777777" w:rsidR="00D60071" w:rsidRDefault="00D60071">
            <w:pPr>
              <w:pStyle w:val="TableText"/>
            </w:pPr>
          </w:p>
        </w:tc>
        <w:tc>
          <w:tcPr>
            <w:tcW w:w="624" w:type="dxa"/>
          </w:tcPr>
          <w:p w14:paraId="75F4CD08" w14:textId="77777777" w:rsidR="00D60071" w:rsidRDefault="00D60071">
            <w:pPr>
              <w:pStyle w:val="TableText"/>
            </w:pPr>
          </w:p>
        </w:tc>
        <w:tc>
          <w:tcPr>
            <w:tcW w:w="5898" w:type="dxa"/>
            <w:gridSpan w:val="4"/>
          </w:tcPr>
          <w:p w14:paraId="4B6AB3C0" w14:textId="77777777" w:rsidR="00D60071" w:rsidRDefault="00404E30" w:rsidP="00B2312D">
            <w:pPr>
              <w:pStyle w:val="TableBlock"/>
              <w:tabs>
                <w:tab w:val="clear" w:pos="624"/>
              </w:tabs>
              <w:rPr>
                <w:rtl/>
              </w:rPr>
            </w:pPr>
            <w:r>
              <w:rPr>
                <w:rFonts w:hint="cs"/>
                <w:rtl/>
              </w:rPr>
              <w:t xml:space="preserve">(2) </w:t>
            </w:r>
            <w:r w:rsidR="00D60071">
              <w:rPr>
                <w:rFonts w:hint="cs"/>
                <w:rtl/>
              </w:rPr>
              <w:t xml:space="preserve">היותו של הנישום חלק מקבוצה רב לאומית, לרבות </w:t>
            </w:r>
            <w:r>
              <w:rPr>
                <w:rFonts w:hint="cs"/>
                <w:rtl/>
              </w:rPr>
              <w:t xml:space="preserve">על </w:t>
            </w:r>
            <w:r w:rsidR="00D60071">
              <w:rPr>
                <w:rFonts w:hint="cs"/>
                <w:rtl/>
              </w:rPr>
              <w:t>ישות האם הסופית בקבוצה, המחזור המאוחד של הקבוצה ופרטים אודות החובה החלה על הגשת דוח ישות אם סופית לגבי אותה קבוצה וביצועה".</w:t>
            </w:r>
          </w:p>
        </w:tc>
      </w:tr>
      <w:tr w:rsidR="00D60071" w14:paraId="7BE95AC0" w14:textId="77777777">
        <w:trPr>
          <w:cantSplit/>
          <w:trHeight w:val="60"/>
        </w:trPr>
        <w:tc>
          <w:tcPr>
            <w:tcW w:w="1871" w:type="dxa"/>
          </w:tcPr>
          <w:p w14:paraId="329B6B94" w14:textId="77777777" w:rsidR="00D60071" w:rsidRDefault="00D60071" w:rsidP="003055DA">
            <w:pPr>
              <w:pStyle w:val="TableSideHeading"/>
              <w:keepLines w:val="0"/>
            </w:pPr>
            <w:bookmarkStart w:id="11" w:name="_Toc53333064"/>
            <w:bookmarkStart w:id="12" w:name="_Toc53333090"/>
            <w:r w:rsidRPr="00B16BB5">
              <w:rPr>
                <w:rFonts w:hint="cs"/>
                <w:rtl/>
              </w:rPr>
              <w:t>הוספת תקנה 5א</w:t>
            </w:r>
            <w:bookmarkEnd w:id="11"/>
            <w:bookmarkEnd w:id="12"/>
          </w:p>
        </w:tc>
        <w:tc>
          <w:tcPr>
            <w:tcW w:w="624" w:type="dxa"/>
          </w:tcPr>
          <w:p w14:paraId="0F7AD6B9" w14:textId="77777777" w:rsidR="00D60071" w:rsidRDefault="00D60071" w:rsidP="00D60071">
            <w:pPr>
              <w:pStyle w:val="TableText"/>
              <w:keepLines w:val="0"/>
              <w:numPr>
                <w:ilvl w:val="0"/>
                <w:numId w:val="4"/>
              </w:numPr>
            </w:pPr>
          </w:p>
        </w:tc>
        <w:tc>
          <w:tcPr>
            <w:tcW w:w="7146" w:type="dxa"/>
            <w:gridSpan w:val="6"/>
          </w:tcPr>
          <w:p w14:paraId="768C3565" w14:textId="77777777" w:rsidR="00D60071" w:rsidRPr="00C34DE2" w:rsidRDefault="00D60071" w:rsidP="003055DA">
            <w:pPr>
              <w:pStyle w:val="TableBlock"/>
              <w:keepLines w:val="0"/>
            </w:pPr>
            <w:r w:rsidRPr="00183B8C">
              <w:rPr>
                <w:rFonts w:hint="cs"/>
                <w:sz w:val="26"/>
                <w:rtl/>
              </w:rPr>
              <w:t>אחרי תקנה</w:t>
            </w:r>
            <w:r>
              <w:rPr>
                <w:rFonts w:hint="cs"/>
                <w:sz w:val="26"/>
                <w:rtl/>
              </w:rPr>
              <w:t xml:space="preserve"> 5 לתקנות העיקריות, יבוא</w:t>
            </w:r>
            <w:r w:rsidRPr="00183B8C">
              <w:rPr>
                <w:rFonts w:hint="cs"/>
                <w:sz w:val="26"/>
                <w:rtl/>
              </w:rPr>
              <w:t>:</w:t>
            </w:r>
          </w:p>
        </w:tc>
      </w:tr>
      <w:tr w:rsidR="00D60071" w14:paraId="6FE4610A" w14:textId="77777777">
        <w:trPr>
          <w:cantSplit/>
          <w:trHeight w:val="60"/>
        </w:trPr>
        <w:tc>
          <w:tcPr>
            <w:tcW w:w="1871" w:type="dxa"/>
          </w:tcPr>
          <w:p w14:paraId="424B69B7" w14:textId="77777777" w:rsidR="00D60071" w:rsidRDefault="00D60071" w:rsidP="00D60071">
            <w:pPr>
              <w:pStyle w:val="TableSideHeading"/>
              <w:keepLines w:val="0"/>
            </w:pPr>
          </w:p>
        </w:tc>
        <w:tc>
          <w:tcPr>
            <w:tcW w:w="624" w:type="dxa"/>
          </w:tcPr>
          <w:p w14:paraId="622375F5" w14:textId="77777777" w:rsidR="00D60071" w:rsidRDefault="00D60071" w:rsidP="00D60071">
            <w:pPr>
              <w:pStyle w:val="TableText"/>
              <w:keepLines w:val="0"/>
            </w:pPr>
          </w:p>
        </w:tc>
        <w:tc>
          <w:tcPr>
            <w:tcW w:w="1872" w:type="dxa"/>
            <w:gridSpan w:val="3"/>
          </w:tcPr>
          <w:p w14:paraId="0571281A" w14:textId="77777777" w:rsidR="00D60071" w:rsidRDefault="00D60071" w:rsidP="00D60071">
            <w:pPr>
              <w:pStyle w:val="TableInnerSideHeading"/>
            </w:pPr>
            <w:r>
              <w:rPr>
                <w:rFonts w:hint="cs"/>
                <w:rtl/>
              </w:rPr>
              <w:t>"דוח ישות אם סופית</w:t>
            </w:r>
          </w:p>
        </w:tc>
        <w:tc>
          <w:tcPr>
            <w:tcW w:w="624" w:type="dxa"/>
          </w:tcPr>
          <w:p w14:paraId="611C16BB" w14:textId="77777777" w:rsidR="00D60071" w:rsidRDefault="00D60071" w:rsidP="00D60071">
            <w:pPr>
              <w:pStyle w:val="TableText"/>
            </w:pPr>
            <w:r>
              <w:rPr>
                <w:rFonts w:hint="cs"/>
                <w:rtl/>
              </w:rPr>
              <w:t>5א.</w:t>
            </w:r>
          </w:p>
        </w:tc>
        <w:tc>
          <w:tcPr>
            <w:tcW w:w="4650" w:type="dxa"/>
            <w:gridSpan w:val="2"/>
          </w:tcPr>
          <w:p w14:paraId="0DA0E0FF" w14:textId="77777777" w:rsidR="00D60071" w:rsidRDefault="00D60071" w:rsidP="00713015">
            <w:pPr>
              <w:pStyle w:val="TableBlock"/>
              <w:numPr>
                <w:ilvl w:val="0"/>
                <w:numId w:val="30"/>
              </w:numPr>
              <w:tabs>
                <w:tab w:val="left" w:pos="624"/>
              </w:tabs>
            </w:pPr>
            <w:r w:rsidRPr="00183B8C">
              <w:rPr>
                <w:rFonts w:hint="cs"/>
                <w:sz w:val="26"/>
                <w:rtl/>
              </w:rPr>
              <w:t>דוח ישות אם סופית</w:t>
            </w:r>
            <w:r>
              <w:rPr>
                <w:rFonts w:hint="cs"/>
                <w:sz w:val="26"/>
                <w:rtl/>
              </w:rPr>
              <w:t>, יהיה ערוך בשפה האנגלית, ויכלול את המידע הכלול בט</w:t>
            </w:r>
            <w:r w:rsidRPr="00183B8C">
              <w:rPr>
                <w:rFonts w:hint="cs"/>
                <w:sz w:val="26"/>
                <w:rtl/>
              </w:rPr>
              <w:t>ופס שבתוספת לגבי כל ישות בקבוצה הרב לאומית</w:t>
            </w:r>
            <w:r>
              <w:rPr>
                <w:rFonts w:hint="cs"/>
                <w:sz w:val="26"/>
                <w:rtl/>
              </w:rPr>
              <w:t>;</w:t>
            </w:r>
            <w:r>
              <w:rPr>
                <w:rFonts w:hint="cs"/>
                <w:rtl/>
              </w:rPr>
              <w:t xml:space="preserve"> המנהל רשאי לתקן את הטופס שבתוספת בהתאם לשינויים באמות המידה הבין-לאומיות שנקבעו לעניין זה.  </w:t>
            </w:r>
          </w:p>
        </w:tc>
      </w:tr>
      <w:tr w:rsidR="00D60071" w14:paraId="514586CC" w14:textId="77777777">
        <w:trPr>
          <w:cantSplit/>
          <w:trHeight w:val="60"/>
        </w:trPr>
        <w:tc>
          <w:tcPr>
            <w:tcW w:w="1871" w:type="dxa"/>
          </w:tcPr>
          <w:p w14:paraId="276BA4A3" w14:textId="77777777" w:rsidR="00D60071" w:rsidRDefault="00D60071">
            <w:pPr>
              <w:pStyle w:val="TableSideHeading"/>
            </w:pPr>
          </w:p>
        </w:tc>
        <w:tc>
          <w:tcPr>
            <w:tcW w:w="624" w:type="dxa"/>
          </w:tcPr>
          <w:p w14:paraId="6797B92F" w14:textId="77777777" w:rsidR="00D60071" w:rsidRDefault="00D60071">
            <w:pPr>
              <w:pStyle w:val="TableText"/>
            </w:pPr>
          </w:p>
        </w:tc>
        <w:tc>
          <w:tcPr>
            <w:tcW w:w="624" w:type="dxa"/>
          </w:tcPr>
          <w:p w14:paraId="42A83437" w14:textId="77777777" w:rsidR="00D60071" w:rsidRDefault="00D60071">
            <w:pPr>
              <w:pStyle w:val="TableText"/>
            </w:pPr>
          </w:p>
        </w:tc>
        <w:tc>
          <w:tcPr>
            <w:tcW w:w="624" w:type="dxa"/>
          </w:tcPr>
          <w:p w14:paraId="49E7EA49" w14:textId="77777777" w:rsidR="00D60071" w:rsidRDefault="00D60071">
            <w:pPr>
              <w:pStyle w:val="TableText"/>
            </w:pPr>
          </w:p>
        </w:tc>
        <w:tc>
          <w:tcPr>
            <w:tcW w:w="624" w:type="dxa"/>
          </w:tcPr>
          <w:p w14:paraId="6113D739" w14:textId="77777777" w:rsidR="00D60071" w:rsidRDefault="00D60071">
            <w:pPr>
              <w:pStyle w:val="TableText"/>
            </w:pPr>
          </w:p>
        </w:tc>
        <w:tc>
          <w:tcPr>
            <w:tcW w:w="624" w:type="dxa"/>
          </w:tcPr>
          <w:p w14:paraId="51348457" w14:textId="77777777" w:rsidR="00D60071" w:rsidRDefault="00D60071">
            <w:pPr>
              <w:pStyle w:val="TableText"/>
            </w:pPr>
          </w:p>
        </w:tc>
        <w:tc>
          <w:tcPr>
            <w:tcW w:w="4650" w:type="dxa"/>
            <w:gridSpan w:val="2"/>
          </w:tcPr>
          <w:p w14:paraId="66C5E741" w14:textId="77777777" w:rsidR="00D60071" w:rsidRDefault="00D60071" w:rsidP="00D60071">
            <w:pPr>
              <w:pStyle w:val="TableBlock"/>
              <w:numPr>
                <w:ilvl w:val="0"/>
                <w:numId w:val="30"/>
              </w:numPr>
              <w:tabs>
                <w:tab w:val="left" w:pos="624"/>
              </w:tabs>
            </w:pPr>
            <w:r>
              <w:rPr>
                <w:rFonts w:hint="cs"/>
                <w:rtl/>
              </w:rPr>
              <w:t xml:space="preserve">אישור </w:t>
            </w:r>
            <w:r w:rsidRPr="00191C3F">
              <w:rPr>
                <w:rFonts w:hint="cs"/>
                <w:rtl/>
              </w:rPr>
              <w:t xml:space="preserve">המנהל </w:t>
            </w:r>
            <w:r>
              <w:rPr>
                <w:rFonts w:hint="cs"/>
                <w:rtl/>
              </w:rPr>
              <w:t>ל</w:t>
            </w:r>
            <w:r w:rsidRPr="00191C3F">
              <w:rPr>
                <w:rFonts w:hint="cs"/>
                <w:rtl/>
              </w:rPr>
              <w:t>ישות אם חלופית כאמור בסעיף 85ג(ה)</w:t>
            </w:r>
            <w:r>
              <w:rPr>
                <w:rFonts w:hint="cs"/>
                <w:rtl/>
              </w:rPr>
              <w:t xml:space="preserve"> לפקודה</w:t>
            </w:r>
            <w:r w:rsidRPr="00191C3F">
              <w:rPr>
                <w:rFonts w:hint="cs"/>
                <w:rtl/>
              </w:rPr>
              <w:t xml:space="preserve">, </w:t>
            </w:r>
            <w:r>
              <w:rPr>
                <w:rFonts w:hint="cs"/>
                <w:rtl/>
              </w:rPr>
              <w:t xml:space="preserve">יינתן </w:t>
            </w:r>
            <w:r w:rsidRPr="00191C3F">
              <w:rPr>
                <w:rFonts w:hint="cs"/>
                <w:rtl/>
              </w:rPr>
              <w:t>אם התקיימו כל התנאים הבאים:</w:t>
            </w:r>
          </w:p>
        </w:tc>
      </w:tr>
      <w:tr w:rsidR="00D60071" w14:paraId="10A2A9C9" w14:textId="77777777">
        <w:trPr>
          <w:cantSplit/>
          <w:trHeight w:val="60"/>
        </w:trPr>
        <w:tc>
          <w:tcPr>
            <w:tcW w:w="1871" w:type="dxa"/>
          </w:tcPr>
          <w:p w14:paraId="7351264F" w14:textId="77777777" w:rsidR="00D60071" w:rsidRDefault="00D60071" w:rsidP="00D60071">
            <w:pPr>
              <w:pStyle w:val="TableSideHeading"/>
            </w:pPr>
          </w:p>
        </w:tc>
        <w:tc>
          <w:tcPr>
            <w:tcW w:w="624" w:type="dxa"/>
          </w:tcPr>
          <w:p w14:paraId="0B379B9D" w14:textId="77777777" w:rsidR="00D60071" w:rsidRDefault="00D60071" w:rsidP="00D60071">
            <w:pPr>
              <w:pStyle w:val="TableText"/>
            </w:pPr>
          </w:p>
        </w:tc>
        <w:tc>
          <w:tcPr>
            <w:tcW w:w="624" w:type="dxa"/>
          </w:tcPr>
          <w:p w14:paraId="6F5993B3" w14:textId="77777777" w:rsidR="00D60071" w:rsidRDefault="00D60071" w:rsidP="00D60071">
            <w:pPr>
              <w:pStyle w:val="TableText"/>
            </w:pPr>
          </w:p>
        </w:tc>
        <w:tc>
          <w:tcPr>
            <w:tcW w:w="624" w:type="dxa"/>
          </w:tcPr>
          <w:p w14:paraId="5A8426AC" w14:textId="77777777" w:rsidR="00D60071" w:rsidRDefault="00D60071" w:rsidP="00D60071">
            <w:pPr>
              <w:pStyle w:val="TableText"/>
            </w:pPr>
          </w:p>
        </w:tc>
        <w:tc>
          <w:tcPr>
            <w:tcW w:w="624" w:type="dxa"/>
          </w:tcPr>
          <w:p w14:paraId="1ACC7D03" w14:textId="77777777" w:rsidR="00D60071" w:rsidRDefault="00D60071" w:rsidP="00D60071">
            <w:pPr>
              <w:pStyle w:val="TableText"/>
            </w:pPr>
          </w:p>
        </w:tc>
        <w:tc>
          <w:tcPr>
            <w:tcW w:w="624" w:type="dxa"/>
          </w:tcPr>
          <w:p w14:paraId="31E49E7A" w14:textId="77777777" w:rsidR="00D60071" w:rsidRDefault="00D60071" w:rsidP="00D60071">
            <w:pPr>
              <w:pStyle w:val="TableText"/>
            </w:pPr>
          </w:p>
        </w:tc>
        <w:tc>
          <w:tcPr>
            <w:tcW w:w="624" w:type="dxa"/>
          </w:tcPr>
          <w:p w14:paraId="2AA0859D" w14:textId="77777777" w:rsidR="00D60071" w:rsidRDefault="00D60071" w:rsidP="00D60071">
            <w:pPr>
              <w:pStyle w:val="TableText"/>
            </w:pPr>
          </w:p>
        </w:tc>
        <w:tc>
          <w:tcPr>
            <w:tcW w:w="4026" w:type="dxa"/>
          </w:tcPr>
          <w:p w14:paraId="6B32A2F6" w14:textId="77777777" w:rsidR="00D60071" w:rsidRDefault="00D60071" w:rsidP="00D60071">
            <w:pPr>
              <w:pStyle w:val="TableBlock"/>
              <w:numPr>
                <w:ilvl w:val="0"/>
                <w:numId w:val="31"/>
              </w:numPr>
              <w:tabs>
                <w:tab w:val="left" w:pos="624"/>
              </w:tabs>
              <w:autoSpaceDE w:val="0"/>
              <w:autoSpaceDN w:val="0"/>
              <w:adjustRightInd w:val="0"/>
              <w:contextualSpacing w:val="0"/>
              <w:textAlignment w:val="center"/>
            </w:pPr>
            <w:r w:rsidRPr="00183B8C">
              <w:rPr>
                <w:rFonts w:hint="cs"/>
                <w:sz w:val="26"/>
                <w:rtl/>
              </w:rPr>
              <w:t xml:space="preserve">ישות האם הסופית מסרה למנהל את הבקשה לאישור ישות אם חלופית עד תום שנת המס </w:t>
            </w:r>
            <w:r>
              <w:rPr>
                <w:rFonts w:hint="cs"/>
                <w:sz w:val="26"/>
                <w:rtl/>
              </w:rPr>
              <w:t xml:space="preserve">לגביה מוגש </w:t>
            </w:r>
            <w:r w:rsidRPr="00183B8C">
              <w:rPr>
                <w:rFonts w:hint="cs"/>
                <w:sz w:val="26"/>
                <w:rtl/>
              </w:rPr>
              <w:t xml:space="preserve">דוח ישות </w:t>
            </w:r>
            <w:r>
              <w:rPr>
                <w:rFonts w:hint="cs"/>
                <w:sz w:val="26"/>
                <w:rtl/>
              </w:rPr>
              <w:t>ה</w:t>
            </w:r>
            <w:r w:rsidRPr="00183B8C">
              <w:rPr>
                <w:rFonts w:hint="cs"/>
                <w:sz w:val="26"/>
                <w:rtl/>
              </w:rPr>
              <w:t xml:space="preserve">אם </w:t>
            </w:r>
            <w:r>
              <w:rPr>
                <w:rFonts w:hint="cs"/>
                <w:sz w:val="26"/>
                <w:rtl/>
              </w:rPr>
              <w:t>ה</w:t>
            </w:r>
            <w:r w:rsidRPr="00183B8C">
              <w:rPr>
                <w:rFonts w:hint="cs"/>
                <w:sz w:val="26"/>
                <w:rtl/>
              </w:rPr>
              <w:t xml:space="preserve">סופית, וצירפה הצהרה כי ישות אחרת בקבוצה הרב לאומית תגיש </w:t>
            </w:r>
            <w:r>
              <w:rPr>
                <w:rFonts w:hint="cs"/>
                <w:sz w:val="26"/>
                <w:rtl/>
              </w:rPr>
              <w:t xml:space="preserve">במדינת מושבה, </w:t>
            </w:r>
            <w:r w:rsidRPr="00183B8C">
              <w:rPr>
                <w:rFonts w:hint="cs"/>
                <w:sz w:val="26"/>
                <w:rtl/>
              </w:rPr>
              <w:t>דיווח אשר כולל את הפרטים ה</w:t>
            </w:r>
            <w:r>
              <w:rPr>
                <w:rFonts w:hint="cs"/>
                <w:sz w:val="26"/>
                <w:rtl/>
              </w:rPr>
              <w:t>נדרשים בדוח ישות אם סופית</w:t>
            </w:r>
            <w:r w:rsidR="00B85C20">
              <w:rPr>
                <w:rFonts w:hint="cs"/>
                <w:sz w:val="26"/>
                <w:rtl/>
              </w:rPr>
              <w:t>;</w:t>
            </w:r>
          </w:p>
        </w:tc>
      </w:tr>
      <w:tr w:rsidR="00D60071" w14:paraId="4FB89549" w14:textId="77777777">
        <w:trPr>
          <w:cantSplit/>
          <w:trHeight w:val="60"/>
        </w:trPr>
        <w:tc>
          <w:tcPr>
            <w:tcW w:w="1871" w:type="dxa"/>
          </w:tcPr>
          <w:p w14:paraId="4B584595" w14:textId="77777777" w:rsidR="00D60071" w:rsidRDefault="00D60071" w:rsidP="00D60071">
            <w:pPr>
              <w:pStyle w:val="TableSideHeading"/>
            </w:pPr>
          </w:p>
        </w:tc>
        <w:tc>
          <w:tcPr>
            <w:tcW w:w="624" w:type="dxa"/>
          </w:tcPr>
          <w:p w14:paraId="14723C80" w14:textId="77777777" w:rsidR="00D60071" w:rsidRDefault="00D60071" w:rsidP="00D60071">
            <w:pPr>
              <w:pStyle w:val="TableText"/>
            </w:pPr>
          </w:p>
        </w:tc>
        <w:tc>
          <w:tcPr>
            <w:tcW w:w="624" w:type="dxa"/>
          </w:tcPr>
          <w:p w14:paraId="7D87A608" w14:textId="77777777" w:rsidR="00D60071" w:rsidRDefault="00D60071" w:rsidP="00D60071">
            <w:pPr>
              <w:pStyle w:val="TableText"/>
            </w:pPr>
          </w:p>
        </w:tc>
        <w:tc>
          <w:tcPr>
            <w:tcW w:w="624" w:type="dxa"/>
          </w:tcPr>
          <w:p w14:paraId="57F96F33" w14:textId="77777777" w:rsidR="00D60071" w:rsidRDefault="00D60071" w:rsidP="00D60071">
            <w:pPr>
              <w:pStyle w:val="TableText"/>
            </w:pPr>
          </w:p>
        </w:tc>
        <w:tc>
          <w:tcPr>
            <w:tcW w:w="624" w:type="dxa"/>
          </w:tcPr>
          <w:p w14:paraId="172BDFC1" w14:textId="77777777" w:rsidR="00D60071" w:rsidRDefault="00D60071" w:rsidP="00D60071">
            <w:pPr>
              <w:pStyle w:val="TableText"/>
            </w:pPr>
          </w:p>
        </w:tc>
        <w:tc>
          <w:tcPr>
            <w:tcW w:w="624" w:type="dxa"/>
          </w:tcPr>
          <w:p w14:paraId="0933BBFE" w14:textId="77777777" w:rsidR="00D60071" w:rsidRDefault="00D60071" w:rsidP="00D60071">
            <w:pPr>
              <w:pStyle w:val="TableText"/>
            </w:pPr>
          </w:p>
        </w:tc>
        <w:tc>
          <w:tcPr>
            <w:tcW w:w="624" w:type="dxa"/>
          </w:tcPr>
          <w:p w14:paraId="20BFC0B0" w14:textId="77777777" w:rsidR="00D60071" w:rsidRDefault="00D60071" w:rsidP="00D60071">
            <w:pPr>
              <w:pStyle w:val="TableText"/>
            </w:pPr>
          </w:p>
        </w:tc>
        <w:tc>
          <w:tcPr>
            <w:tcW w:w="4026" w:type="dxa"/>
          </w:tcPr>
          <w:p w14:paraId="774FE95D" w14:textId="77777777" w:rsidR="00D60071" w:rsidRPr="00183B8C" w:rsidRDefault="00D60071" w:rsidP="00D60071">
            <w:pPr>
              <w:pStyle w:val="TableBlock"/>
              <w:numPr>
                <w:ilvl w:val="0"/>
                <w:numId w:val="31"/>
              </w:numPr>
              <w:tabs>
                <w:tab w:val="left" w:pos="624"/>
              </w:tabs>
              <w:autoSpaceDE w:val="0"/>
              <w:autoSpaceDN w:val="0"/>
              <w:adjustRightInd w:val="0"/>
              <w:contextualSpacing w:val="0"/>
              <w:textAlignment w:val="center"/>
              <w:rPr>
                <w:sz w:val="26"/>
                <w:rtl/>
              </w:rPr>
            </w:pPr>
            <w:r w:rsidRPr="00183B8C">
              <w:rPr>
                <w:rFonts w:hint="cs"/>
                <w:sz w:val="26"/>
                <w:rtl/>
              </w:rPr>
              <w:t>ישות האם הסופית העב</w:t>
            </w:r>
            <w:r>
              <w:rPr>
                <w:rFonts w:hint="cs"/>
                <w:sz w:val="26"/>
                <w:rtl/>
              </w:rPr>
              <w:t>ירה למנהל אישור על הגשת דיווח כאמור בפסקה (1)</w:t>
            </w:r>
            <w:r w:rsidRPr="00183B8C">
              <w:rPr>
                <w:rFonts w:hint="cs"/>
                <w:sz w:val="26"/>
                <w:rtl/>
              </w:rPr>
              <w:t xml:space="preserve"> עד המועד הקבוע להגשת דוח ישות אם סופית</w:t>
            </w:r>
            <w:r w:rsidR="00B85C20">
              <w:rPr>
                <w:rFonts w:hint="cs"/>
                <w:sz w:val="26"/>
                <w:rtl/>
              </w:rPr>
              <w:t xml:space="preserve"> בסעיף 85ג(ג);</w:t>
            </w:r>
          </w:p>
        </w:tc>
      </w:tr>
      <w:tr w:rsidR="00D60071" w14:paraId="4E96346C" w14:textId="77777777">
        <w:trPr>
          <w:cantSplit/>
          <w:trHeight w:val="60"/>
        </w:trPr>
        <w:tc>
          <w:tcPr>
            <w:tcW w:w="1871" w:type="dxa"/>
          </w:tcPr>
          <w:p w14:paraId="7743FF23" w14:textId="77777777" w:rsidR="00D60071" w:rsidRDefault="00D60071" w:rsidP="00D60071">
            <w:pPr>
              <w:pStyle w:val="TableSideHeading"/>
            </w:pPr>
          </w:p>
        </w:tc>
        <w:tc>
          <w:tcPr>
            <w:tcW w:w="624" w:type="dxa"/>
          </w:tcPr>
          <w:p w14:paraId="069FD7F5" w14:textId="77777777" w:rsidR="00D60071" w:rsidRDefault="00D60071" w:rsidP="00D60071">
            <w:pPr>
              <w:pStyle w:val="TableText"/>
            </w:pPr>
          </w:p>
        </w:tc>
        <w:tc>
          <w:tcPr>
            <w:tcW w:w="624" w:type="dxa"/>
          </w:tcPr>
          <w:p w14:paraId="3D2C7765" w14:textId="77777777" w:rsidR="00D60071" w:rsidRDefault="00D60071" w:rsidP="00D60071">
            <w:pPr>
              <w:pStyle w:val="TableText"/>
            </w:pPr>
          </w:p>
        </w:tc>
        <w:tc>
          <w:tcPr>
            <w:tcW w:w="624" w:type="dxa"/>
          </w:tcPr>
          <w:p w14:paraId="6DED29AB" w14:textId="77777777" w:rsidR="00D60071" w:rsidRDefault="00D60071" w:rsidP="00D60071">
            <w:pPr>
              <w:pStyle w:val="TableText"/>
            </w:pPr>
          </w:p>
        </w:tc>
        <w:tc>
          <w:tcPr>
            <w:tcW w:w="624" w:type="dxa"/>
          </w:tcPr>
          <w:p w14:paraId="3E646601" w14:textId="77777777" w:rsidR="00D60071" w:rsidRDefault="00D60071" w:rsidP="00D60071">
            <w:pPr>
              <w:pStyle w:val="TableText"/>
            </w:pPr>
          </w:p>
        </w:tc>
        <w:tc>
          <w:tcPr>
            <w:tcW w:w="624" w:type="dxa"/>
          </w:tcPr>
          <w:p w14:paraId="2CAA08F5" w14:textId="77777777" w:rsidR="00D60071" w:rsidRDefault="00D60071" w:rsidP="00D60071">
            <w:pPr>
              <w:pStyle w:val="TableText"/>
            </w:pPr>
          </w:p>
        </w:tc>
        <w:tc>
          <w:tcPr>
            <w:tcW w:w="624" w:type="dxa"/>
          </w:tcPr>
          <w:p w14:paraId="12267B9E" w14:textId="77777777" w:rsidR="00D60071" w:rsidRDefault="00D60071" w:rsidP="00D60071">
            <w:pPr>
              <w:pStyle w:val="TableText"/>
            </w:pPr>
          </w:p>
        </w:tc>
        <w:tc>
          <w:tcPr>
            <w:tcW w:w="4026" w:type="dxa"/>
          </w:tcPr>
          <w:p w14:paraId="6961235A" w14:textId="77777777" w:rsidR="00D60071" w:rsidRPr="00183B8C" w:rsidRDefault="00D60071" w:rsidP="00D60071">
            <w:pPr>
              <w:pStyle w:val="TableBlock"/>
              <w:numPr>
                <w:ilvl w:val="0"/>
                <w:numId w:val="31"/>
              </w:numPr>
              <w:tabs>
                <w:tab w:val="left" w:pos="624"/>
              </w:tabs>
              <w:autoSpaceDE w:val="0"/>
              <w:autoSpaceDN w:val="0"/>
              <w:adjustRightInd w:val="0"/>
              <w:contextualSpacing w:val="0"/>
              <w:textAlignment w:val="center"/>
              <w:rPr>
                <w:sz w:val="26"/>
                <w:rtl/>
              </w:rPr>
            </w:pPr>
            <w:r w:rsidRPr="00183B8C">
              <w:rPr>
                <w:rFonts w:hint="cs"/>
                <w:sz w:val="26"/>
                <w:rtl/>
              </w:rPr>
              <w:t xml:space="preserve">קיים, במועד ההגשה, הסכם </w:t>
            </w:r>
            <w:r>
              <w:rPr>
                <w:rFonts w:hint="cs"/>
                <w:sz w:val="26"/>
                <w:rtl/>
              </w:rPr>
              <w:t>בתוקף עם המדינה בה הוגש הדיווח כאמור בפסקה (1)</w:t>
            </w:r>
            <w:r w:rsidRPr="00183B8C">
              <w:rPr>
                <w:rFonts w:hint="cs"/>
                <w:sz w:val="26"/>
                <w:rtl/>
              </w:rPr>
              <w:t>.</w:t>
            </w:r>
          </w:p>
        </w:tc>
      </w:tr>
      <w:tr w:rsidR="00D60071" w14:paraId="25CBC0BC" w14:textId="77777777">
        <w:trPr>
          <w:cantSplit/>
          <w:trHeight w:val="60"/>
        </w:trPr>
        <w:tc>
          <w:tcPr>
            <w:tcW w:w="1871" w:type="dxa"/>
          </w:tcPr>
          <w:p w14:paraId="7365EF52" w14:textId="77777777" w:rsidR="00D60071" w:rsidRDefault="00D60071">
            <w:pPr>
              <w:pStyle w:val="TableSideHeading"/>
            </w:pPr>
          </w:p>
        </w:tc>
        <w:tc>
          <w:tcPr>
            <w:tcW w:w="624" w:type="dxa"/>
          </w:tcPr>
          <w:p w14:paraId="289AFFB2" w14:textId="77777777" w:rsidR="00D60071" w:rsidRDefault="00D60071" w:rsidP="00D60071">
            <w:pPr>
              <w:pStyle w:val="TableText"/>
            </w:pPr>
          </w:p>
        </w:tc>
        <w:tc>
          <w:tcPr>
            <w:tcW w:w="624" w:type="dxa"/>
          </w:tcPr>
          <w:p w14:paraId="5D502083" w14:textId="77777777" w:rsidR="00D60071" w:rsidRDefault="00D60071">
            <w:pPr>
              <w:pStyle w:val="TableText"/>
            </w:pPr>
          </w:p>
        </w:tc>
        <w:tc>
          <w:tcPr>
            <w:tcW w:w="624" w:type="dxa"/>
          </w:tcPr>
          <w:p w14:paraId="65FC1B0D" w14:textId="77777777" w:rsidR="00D60071" w:rsidRDefault="00D60071">
            <w:pPr>
              <w:pStyle w:val="TableText"/>
            </w:pPr>
          </w:p>
        </w:tc>
        <w:tc>
          <w:tcPr>
            <w:tcW w:w="624" w:type="dxa"/>
          </w:tcPr>
          <w:p w14:paraId="13A6BD48" w14:textId="77777777" w:rsidR="00D60071" w:rsidRDefault="00D60071">
            <w:pPr>
              <w:pStyle w:val="TableText"/>
            </w:pPr>
          </w:p>
        </w:tc>
        <w:tc>
          <w:tcPr>
            <w:tcW w:w="624" w:type="dxa"/>
          </w:tcPr>
          <w:p w14:paraId="7EB83AC9" w14:textId="77777777" w:rsidR="00D60071" w:rsidRDefault="00D60071">
            <w:pPr>
              <w:pStyle w:val="TableText"/>
            </w:pPr>
          </w:p>
        </w:tc>
        <w:tc>
          <w:tcPr>
            <w:tcW w:w="4650" w:type="dxa"/>
            <w:gridSpan w:val="2"/>
          </w:tcPr>
          <w:p w14:paraId="7CB423BB" w14:textId="77777777" w:rsidR="00D60071" w:rsidRDefault="00D60071" w:rsidP="00D60071">
            <w:pPr>
              <w:pStyle w:val="TableBlock"/>
              <w:numPr>
                <w:ilvl w:val="0"/>
                <w:numId w:val="30"/>
              </w:numPr>
              <w:tabs>
                <w:tab w:val="left" w:pos="624"/>
              </w:tabs>
              <w:rPr>
                <w:rtl/>
              </w:rPr>
            </w:pPr>
            <w:r w:rsidRPr="0094414C">
              <w:rPr>
                <w:rFonts w:hint="cs"/>
                <w:rtl/>
              </w:rPr>
              <w:t>המנהל יהיה רשאי לחייב ישות בקבוצה הרב-לאומית כאמור בסעיף 85ג(ג)</w:t>
            </w:r>
            <w:r w:rsidR="00B85C20">
              <w:rPr>
                <w:rFonts w:hint="cs"/>
                <w:rtl/>
              </w:rPr>
              <w:t xml:space="preserve"> לפקודה</w:t>
            </w:r>
            <w:r w:rsidRPr="0094414C">
              <w:rPr>
                <w:rFonts w:hint="cs"/>
                <w:rtl/>
              </w:rPr>
              <w:t>, שהיא תושבת ישראל, להגיש דוח ישות אם סופית, אף אם היא לא ישות חייבת בדיווח</w:t>
            </w:r>
            <w:r>
              <w:rPr>
                <w:rFonts w:hint="cs"/>
                <w:rtl/>
              </w:rPr>
              <w:t>,</w:t>
            </w:r>
            <w:r w:rsidRPr="0094414C">
              <w:rPr>
                <w:rFonts w:hint="cs"/>
                <w:rtl/>
              </w:rPr>
              <w:t xml:space="preserve"> אם התקיים אחד מהתנאים הבאים:</w:t>
            </w:r>
          </w:p>
        </w:tc>
      </w:tr>
      <w:tr w:rsidR="00D60071" w14:paraId="323AB362" w14:textId="77777777">
        <w:trPr>
          <w:cantSplit/>
          <w:trHeight w:val="60"/>
        </w:trPr>
        <w:tc>
          <w:tcPr>
            <w:tcW w:w="1871" w:type="dxa"/>
          </w:tcPr>
          <w:p w14:paraId="14ADB342" w14:textId="77777777" w:rsidR="00D60071" w:rsidRDefault="00D60071" w:rsidP="00D60071">
            <w:pPr>
              <w:pStyle w:val="TableSideHeading"/>
            </w:pPr>
          </w:p>
        </w:tc>
        <w:tc>
          <w:tcPr>
            <w:tcW w:w="624" w:type="dxa"/>
          </w:tcPr>
          <w:p w14:paraId="66C29EFA" w14:textId="77777777" w:rsidR="00D60071" w:rsidRDefault="00D60071" w:rsidP="00D60071">
            <w:pPr>
              <w:pStyle w:val="TableText"/>
            </w:pPr>
          </w:p>
        </w:tc>
        <w:tc>
          <w:tcPr>
            <w:tcW w:w="624" w:type="dxa"/>
          </w:tcPr>
          <w:p w14:paraId="5359B8E8" w14:textId="77777777" w:rsidR="00D60071" w:rsidRDefault="00D60071" w:rsidP="00D60071">
            <w:pPr>
              <w:pStyle w:val="TableText"/>
            </w:pPr>
          </w:p>
        </w:tc>
        <w:tc>
          <w:tcPr>
            <w:tcW w:w="624" w:type="dxa"/>
          </w:tcPr>
          <w:p w14:paraId="34177F30" w14:textId="77777777" w:rsidR="00D60071" w:rsidRDefault="00D60071" w:rsidP="00D60071">
            <w:pPr>
              <w:pStyle w:val="TableText"/>
            </w:pPr>
          </w:p>
        </w:tc>
        <w:tc>
          <w:tcPr>
            <w:tcW w:w="624" w:type="dxa"/>
          </w:tcPr>
          <w:p w14:paraId="0477254A" w14:textId="77777777" w:rsidR="00D60071" w:rsidRDefault="00D60071" w:rsidP="00D60071">
            <w:pPr>
              <w:pStyle w:val="TableText"/>
            </w:pPr>
          </w:p>
        </w:tc>
        <w:tc>
          <w:tcPr>
            <w:tcW w:w="624" w:type="dxa"/>
          </w:tcPr>
          <w:p w14:paraId="69DE3AFB" w14:textId="77777777" w:rsidR="00D60071" w:rsidRDefault="00D60071" w:rsidP="00D60071">
            <w:pPr>
              <w:pStyle w:val="TableText"/>
            </w:pPr>
          </w:p>
        </w:tc>
        <w:tc>
          <w:tcPr>
            <w:tcW w:w="624" w:type="dxa"/>
          </w:tcPr>
          <w:p w14:paraId="0D89AABE" w14:textId="77777777" w:rsidR="00D60071" w:rsidRDefault="00D60071" w:rsidP="00D60071">
            <w:pPr>
              <w:pStyle w:val="TableText"/>
            </w:pPr>
          </w:p>
        </w:tc>
        <w:tc>
          <w:tcPr>
            <w:tcW w:w="4026" w:type="dxa"/>
          </w:tcPr>
          <w:p w14:paraId="756802A7" w14:textId="77777777" w:rsidR="00D60071" w:rsidRDefault="00D60071" w:rsidP="00D60071">
            <w:pPr>
              <w:pStyle w:val="TableBlock"/>
              <w:numPr>
                <w:ilvl w:val="0"/>
                <w:numId w:val="32"/>
              </w:numPr>
              <w:tabs>
                <w:tab w:val="left" w:pos="624"/>
              </w:tabs>
              <w:autoSpaceDE w:val="0"/>
              <w:autoSpaceDN w:val="0"/>
              <w:adjustRightInd w:val="0"/>
              <w:contextualSpacing w:val="0"/>
              <w:textAlignment w:val="center"/>
            </w:pPr>
            <w:r w:rsidRPr="00191C3F">
              <w:rPr>
                <w:rFonts w:hint="cs"/>
                <w:rtl/>
              </w:rPr>
              <w:t xml:space="preserve">ישות האם </w:t>
            </w:r>
            <w:r>
              <w:rPr>
                <w:rFonts w:hint="cs"/>
                <w:rtl/>
              </w:rPr>
              <w:t>הסופית אינה חייבת בהגשת דוח ישות אם סופית</w:t>
            </w:r>
            <w:r w:rsidRPr="00191C3F">
              <w:rPr>
                <w:rFonts w:hint="cs"/>
                <w:rtl/>
              </w:rPr>
              <w:t xml:space="preserve"> במדינת התושבות של ישות האם הסופית</w:t>
            </w:r>
            <w:r>
              <w:rPr>
                <w:rFonts w:hint="cs"/>
                <w:rtl/>
              </w:rPr>
              <w:t xml:space="preserve"> (להלן-דוח ישות אם סופית במדינה זרה), לפי דינה של אותה מדינה</w:t>
            </w:r>
            <w:r w:rsidR="00E10A5D">
              <w:rPr>
                <w:rFonts w:hint="cs"/>
                <w:rtl/>
              </w:rPr>
              <w:t>;</w:t>
            </w:r>
          </w:p>
        </w:tc>
      </w:tr>
      <w:tr w:rsidR="00D60071" w14:paraId="10FBE9BC" w14:textId="77777777">
        <w:trPr>
          <w:cantSplit/>
          <w:trHeight w:val="60"/>
        </w:trPr>
        <w:tc>
          <w:tcPr>
            <w:tcW w:w="1871" w:type="dxa"/>
          </w:tcPr>
          <w:p w14:paraId="1100940A" w14:textId="77777777" w:rsidR="00D60071" w:rsidRDefault="00D60071" w:rsidP="00D60071">
            <w:pPr>
              <w:pStyle w:val="TableSideHeading"/>
            </w:pPr>
          </w:p>
        </w:tc>
        <w:tc>
          <w:tcPr>
            <w:tcW w:w="624" w:type="dxa"/>
          </w:tcPr>
          <w:p w14:paraId="5E3C0A83" w14:textId="77777777" w:rsidR="00D60071" w:rsidRDefault="00D60071" w:rsidP="00D60071">
            <w:pPr>
              <w:pStyle w:val="TableText"/>
            </w:pPr>
          </w:p>
        </w:tc>
        <w:tc>
          <w:tcPr>
            <w:tcW w:w="624" w:type="dxa"/>
          </w:tcPr>
          <w:p w14:paraId="406C3D59" w14:textId="77777777" w:rsidR="00D60071" w:rsidRDefault="00D60071" w:rsidP="00D60071">
            <w:pPr>
              <w:pStyle w:val="TableText"/>
            </w:pPr>
          </w:p>
        </w:tc>
        <w:tc>
          <w:tcPr>
            <w:tcW w:w="624" w:type="dxa"/>
          </w:tcPr>
          <w:p w14:paraId="137A5F8B" w14:textId="77777777" w:rsidR="00D60071" w:rsidRDefault="00D60071" w:rsidP="00D60071">
            <w:pPr>
              <w:pStyle w:val="TableText"/>
            </w:pPr>
          </w:p>
        </w:tc>
        <w:tc>
          <w:tcPr>
            <w:tcW w:w="624" w:type="dxa"/>
          </w:tcPr>
          <w:p w14:paraId="58B013AA" w14:textId="77777777" w:rsidR="00D60071" w:rsidRDefault="00D60071" w:rsidP="00D60071">
            <w:pPr>
              <w:pStyle w:val="TableText"/>
            </w:pPr>
          </w:p>
        </w:tc>
        <w:tc>
          <w:tcPr>
            <w:tcW w:w="624" w:type="dxa"/>
          </w:tcPr>
          <w:p w14:paraId="75EF3520" w14:textId="77777777" w:rsidR="00D60071" w:rsidRDefault="00D60071" w:rsidP="00D60071">
            <w:pPr>
              <w:pStyle w:val="TableText"/>
            </w:pPr>
          </w:p>
        </w:tc>
        <w:tc>
          <w:tcPr>
            <w:tcW w:w="624" w:type="dxa"/>
          </w:tcPr>
          <w:p w14:paraId="74D5FAB1" w14:textId="77777777" w:rsidR="00D60071" w:rsidRDefault="00D60071" w:rsidP="00D60071">
            <w:pPr>
              <w:pStyle w:val="TableText"/>
            </w:pPr>
          </w:p>
        </w:tc>
        <w:tc>
          <w:tcPr>
            <w:tcW w:w="4026" w:type="dxa"/>
          </w:tcPr>
          <w:p w14:paraId="4FFF520F" w14:textId="77777777" w:rsidR="00D60071" w:rsidRPr="00191C3F" w:rsidRDefault="00D60071" w:rsidP="00D60071">
            <w:pPr>
              <w:pStyle w:val="TableBlock"/>
              <w:numPr>
                <w:ilvl w:val="0"/>
                <w:numId w:val="32"/>
              </w:numPr>
              <w:tabs>
                <w:tab w:val="left" w:pos="624"/>
              </w:tabs>
              <w:autoSpaceDE w:val="0"/>
              <w:autoSpaceDN w:val="0"/>
              <w:adjustRightInd w:val="0"/>
              <w:contextualSpacing w:val="0"/>
              <w:textAlignment w:val="center"/>
              <w:rPr>
                <w:rtl/>
              </w:rPr>
            </w:pPr>
            <w:r w:rsidRPr="000A05AD">
              <w:rPr>
                <w:rtl/>
              </w:rPr>
              <w:t xml:space="preserve">לא קיים הסכם </w:t>
            </w:r>
            <w:r>
              <w:rPr>
                <w:rFonts w:hint="cs"/>
                <w:rtl/>
              </w:rPr>
              <w:t>רשויות מוסמכות</w:t>
            </w:r>
            <w:r w:rsidRPr="000A05AD">
              <w:rPr>
                <w:rtl/>
              </w:rPr>
              <w:t xml:space="preserve"> בתוקף לעניין העברת </w:t>
            </w:r>
            <w:r>
              <w:rPr>
                <w:rFonts w:hint="cs"/>
                <w:rtl/>
              </w:rPr>
              <w:t xml:space="preserve">דוח ישות אם סופית במדינה זרה, </w:t>
            </w:r>
            <w:r w:rsidRPr="000A05AD">
              <w:rPr>
                <w:rtl/>
              </w:rPr>
              <w:t>עם מדינת התושבות של ישות האם הסופית</w:t>
            </w:r>
            <w:r>
              <w:rPr>
                <w:rFonts w:hint="cs"/>
                <w:rtl/>
              </w:rPr>
              <w:t>,</w:t>
            </w:r>
            <w:r w:rsidRPr="000A05AD">
              <w:rPr>
                <w:rFonts w:hint="cs"/>
                <w:rtl/>
              </w:rPr>
              <w:t xml:space="preserve"> </w:t>
            </w:r>
            <w:r w:rsidRPr="007F25D0">
              <w:rPr>
                <w:rFonts w:hint="cs"/>
                <w:rtl/>
              </w:rPr>
              <w:t>ובלבד שאותה מדינה היא צד להסכם בין-לאומי, אשר על פיו נערך הסכם רשויות מוסמכות</w:t>
            </w:r>
            <w:r w:rsidR="00E10A5D">
              <w:rPr>
                <w:rFonts w:hint="cs"/>
                <w:rtl/>
              </w:rPr>
              <w:t>;</w:t>
            </w:r>
          </w:p>
        </w:tc>
      </w:tr>
      <w:tr w:rsidR="00D60071" w14:paraId="4994F0B2" w14:textId="77777777">
        <w:trPr>
          <w:cantSplit/>
          <w:trHeight w:val="60"/>
        </w:trPr>
        <w:tc>
          <w:tcPr>
            <w:tcW w:w="1871" w:type="dxa"/>
          </w:tcPr>
          <w:p w14:paraId="2B42946F" w14:textId="77777777" w:rsidR="00D60071" w:rsidRDefault="00D60071" w:rsidP="00D60071">
            <w:pPr>
              <w:pStyle w:val="TableSideHeading"/>
            </w:pPr>
          </w:p>
        </w:tc>
        <w:tc>
          <w:tcPr>
            <w:tcW w:w="624" w:type="dxa"/>
          </w:tcPr>
          <w:p w14:paraId="34453693" w14:textId="77777777" w:rsidR="00D60071" w:rsidRDefault="00D60071" w:rsidP="00D60071">
            <w:pPr>
              <w:pStyle w:val="TableText"/>
            </w:pPr>
          </w:p>
        </w:tc>
        <w:tc>
          <w:tcPr>
            <w:tcW w:w="624" w:type="dxa"/>
          </w:tcPr>
          <w:p w14:paraId="5E4B6D7B" w14:textId="77777777" w:rsidR="00D60071" w:rsidRDefault="00D60071" w:rsidP="00D60071">
            <w:pPr>
              <w:pStyle w:val="TableText"/>
            </w:pPr>
          </w:p>
        </w:tc>
        <w:tc>
          <w:tcPr>
            <w:tcW w:w="624" w:type="dxa"/>
          </w:tcPr>
          <w:p w14:paraId="0EB3FDD9" w14:textId="77777777" w:rsidR="00D60071" w:rsidRDefault="00D60071" w:rsidP="00D60071">
            <w:pPr>
              <w:pStyle w:val="TableText"/>
            </w:pPr>
          </w:p>
        </w:tc>
        <w:tc>
          <w:tcPr>
            <w:tcW w:w="624" w:type="dxa"/>
          </w:tcPr>
          <w:p w14:paraId="2A1E3278" w14:textId="77777777" w:rsidR="00D60071" w:rsidRDefault="00D60071" w:rsidP="00D60071">
            <w:pPr>
              <w:pStyle w:val="TableText"/>
            </w:pPr>
          </w:p>
        </w:tc>
        <w:tc>
          <w:tcPr>
            <w:tcW w:w="624" w:type="dxa"/>
          </w:tcPr>
          <w:p w14:paraId="6382E7C1" w14:textId="77777777" w:rsidR="00D60071" w:rsidRDefault="00D60071" w:rsidP="00D60071">
            <w:pPr>
              <w:pStyle w:val="TableText"/>
            </w:pPr>
          </w:p>
        </w:tc>
        <w:tc>
          <w:tcPr>
            <w:tcW w:w="624" w:type="dxa"/>
          </w:tcPr>
          <w:p w14:paraId="3001BFDD" w14:textId="77777777" w:rsidR="00D60071" w:rsidRDefault="00D60071" w:rsidP="00D60071">
            <w:pPr>
              <w:pStyle w:val="TableText"/>
            </w:pPr>
          </w:p>
        </w:tc>
        <w:tc>
          <w:tcPr>
            <w:tcW w:w="4026" w:type="dxa"/>
          </w:tcPr>
          <w:p w14:paraId="4E2A5893" w14:textId="77777777" w:rsidR="00D60071" w:rsidRPr="00191C3F" w:rsidRDefault="00D60071" w:rsidP="00D60071">
            <w:pPr>
              <w:pStyle w:val="TableBlock"/>
              <w:numPr>
                <w:ilvl w:val="0"/>
                <w:numId w:val="32"/>
              </w:numPr>
              <w:tabs>
                <w:tab w:val="left" w:pos="624"/>
              </w:tabs>
              <w:autoSpaceDE w:val="0"/>
              <w:autoSpaceDN w:val="0"/>
              <w:adjustRightInd w:val="0"/>
              <w:contextualSpacing w:val="0"/>
              <w:textAlignment w:val="center"/>
              <w:rPr>
                <w:rtl/>
              </w:rPr>
            </w:pPr>
            <w:r w:rsidRPr="00191C3F">
              <w:rPr>
                <w:rFonts w:hint="cs"/>
                <w:rtl/>
              </w:rPr>
              <w:t xml:space="preserve">חילופי מידע בין </w:t>
            </w:r>
            <w:r>
              <w:rPr>
                <w:rFonts w:hint="cs"/>
                <w:rtl/>
              </w:rPr>
              <w:t xml:space="preserve">ישראל והמדינה בה הוגש דוח ישות אם סופית במדינה זרה הושעו בניגוד לתנאי </w:t>
            </w:r>
            <w:r w:rsidRPr="00191C3F">
              <w:rPr>
                <w:rFonts w:hint="cs"/>
                <w:rtl/>
              </w:rPr>
              <w:t>הסכם</w:t>
            </w:r>
            <w:r>
              <w:rPr>
                <w:rFonts w:hint="cs"/>
                <w:rtl/>
              </w:rPr>
              <w:t xml:space="preserve"> רשויות מוסמכות</w:t>
            </w:r>
            <w:r w:rsidRPr="00191C3F">
              <w:rPr>
                <w:rFonts w:hint="cs"/>
                <w:rtl/>
              </w:rPr>
              <w:t xml:space="preserve">, או </w:t>
            </w:r>
            <w:r>
              <w:rPr>
                <w:rFonts w:hint="cs"/>
                <w:rtl/>
              </w:rPr>
              <w:t>שלא התקבל מידע, מסיבה אחרת, מאת אותה מדינה, לגבי קבוצות רב לאומיות הכוללות ישו</w:t>
            </w:r>
            <w:r w:rsidRPr="00191C3F">
              <w:rPr>
                <w:rFonts w:hint="cs"/>
                <w:rtl/>
              </w:rPr>
              <w:t>ת בישראל.</w:t>
            </w:r>
            <w:r>
              <w:rPr>
                <w:rFonts w:hint="cs"/>
                <w:rtl/>
              </w:rPr>
              <w:t xml:space="preserve">"  </w:t>
            </w:r>
          </w:p>
        </w:tc>
      </w:tr>
      <w:tr w:rsidR="000C30A6" w14:paraId="47AEAE8D" w14:textId="77777777">
        <w:trPr>
          <w:cantSplit/>
          <w:trHeight w:val="60"/>
        </w:trPr>
        <w:tc>
          <w:tcPr>
            <w:tcW w:w="1871" w:type="dxa"/>
          </w:tcPr>
          <w:p w14:paraId="71E2A8B7" w14:textId="77777777" w:rsidR="000C30A6" w:rsidRDefault="000C30A6" w:rsidP="003055DA">
            <w:pPr>
              <w:pStyle w:val="TableSideHeading"/>
              <w:keepLines w:val="0"/>
            </w:pPr>
            <w:bookmarkStart w:id="13" w:name="_Toc53333065"/>
            <w:bookmarkStart w:id="14" w:name="_Toc53333091"/>
            <w:r>
              <w:rPr>
                <w:rFonts w:hint="cs"/>
                <w:rtl/>
              </w:rPr>
              <w:t>הוספת התוספת</w:t>
            </w:r>
            <w:bookmarkEnd w:id="13"/>
            <w:bookmarkEnd w:id="14"/>
          </w:p>
        </w:tc>
        <w:tc>
          <w:tcPr>
            <w:tcW w:w="624" w:type="dxa"/>
          </w:tcPr>
          <w:p w14:paraId="1F6F5C55" w14:textId="77777777" w:rsidR="000C30A6" w:rsidRDefault="000C30A6" w:rsidP="000C30A6">
            <w:pPr>
              <w:pStyle w:val="TableText"/>
              <w:keepLines w:val="0"/>
              <w:numPr>
                <w:ilvl w:val="0"/>
                <w:numId w:val="4"/>
              </w:numPr>
            </w:pPr>
          </w:p>
        </w:tc>
        <w:tc>
          <w:tcPr>
            <w:tcW w:w="7146" w:type="dxa"/>
            <w:gridSpan w:val="6"/>
          </w:tcPr>
          <w:p w14:paraId="0E35F96E" w14:textId="77777777" w:rsidR="000C30A6" w:rsidRPr="00C34DE2" w:rsidRDefault="000C30A6" w:rsidP="003055DA">
            <w:pPr>
              <w:pStyle w:val="TableBlock"/>
              <w:keepLines w:val="0"/>
            </w:pPr>
            <w:r>
              <w:rPr>
                <w:rFonts w:hint="cs"/>
                <w:rtl/>
              </w:rPr>
              <w:t>אחרי תקנה 6 לתקנות העיקריות יבוא:</w:t>
            </w:r>
          </w:p>
        </w:tc>
      </w:tr>
      <w:tr w:rsidR="000C30A6" w14:paraId="2EE330F3" w14:textId="77777777">
        <w:trPr>
          <w:cantSplit/>
          <w:trHeight w:val="60"/>
        </w:trPr>
        <w:tc>
          <w:tcPr>
            <w:tcW w:w="1871" w:type="dxa"/>
          </w:tcPr>
          <w:p w14:paraId="136B3CE7" w14:textId="77777777" w:rsidR="000C30A6" w:rsidRDefault="000C30A6" w:rsidP="000C30A6">
            <w:pPr>
              <w:pStyle w:val="TableSideHeading"/>
              <w:keepLines w:val="0"/>
              <w:rPr>
                <w:rtl/>
              </w:rPr>
            </w:pPr>
          </w:p>
        </w:tc>
        <w:tc>
          <w:tcPr>
            <w:tcW w:w="624" w:type="dxa"/>
          </w:tcPr>
          <w:p w14:paraId="140C300E" w14:textId="77777777" w:rsidR="000C30A6" w:rsidRDefault="000C30A6" w:rsidP="000C30A6">
            <w:pPr>
              <w:pStyle w:val="TableText"/>
            </w:pPr>
          </w:p>
        </w:tc>
        <w:tc>
          <w:tcPr>
            <w:tcW w:w="7146" w:type="dxa"/>
            <w:gridSpan w:val="6"/>
          </w:tcPr>
          <w:p w14:paraId="329C3D2A" w14:textId="77777777" w:rsidR="000C30A6" w:rsidRPr="00B12A87" w:rsidRDefault="000C30A6" w:rsidP="000C30A6">
            <w:pPr>
              <w:pStyle w:val="TableHead"/>
              <w:rPr>
                <w:rtl/>
              </w:rPr>
            </w:pPr>
            <w:bookmarkStart w:id="15" w:name="_Toc53333066"/>
            <w:bookmarkStart w:id="16" w:name="_Toc53333092"/>
            <w:r>
              <w:rPr>
                <w:rFonts w:hint="cs"/>
                <w:rtl/>
              </w:rPr>
              <w:t>"תוספת ראשונה</w:t>
            </w:r>
            <w:bookmarkEnd w:id="15"/>
            <w:bookmarkEnd w:id="16"/>
          </w:p>
        </w:tc>
      </w:tr>
      <w:tr w:rsidR="000C30A6" w14:paraId="718BDD91" w14:textId="77777777">
        <w:trPr>
          <w:cantSplit/>
          <w:trHeight w:val="60"/>
        </w:trPr>
        <w:tc>
          <w:tcPr>
            <w:tcW w:w="1871" w:type="dxa"/>
          </w:tcPr>
          <w:p w14:paraId="5CD9B90F" w14:textId="77777777" w:rsidR="000C30A6" w:rsidRDefault="000C30A6" w:rsidP="000C30A6">
            <w:pPr>
              <w:pStyle w:val="TableSideHeading"/>
              <w:keepLines w:val="0"/>
              <w:rPr>
                <w:rtl/>
              </w:rPr>
            </w:pPr>
          </w:p>
        </w:tc>
        <w:tc>
          <w:tcPr>
            <w:tcW w:w="624" w:type="dxa"/>
          </w:tcPr>
          <w:p w14:paraId="279D6C09" w14:textId="77777777" w:rsidR="000C30A6" w:rsidRDefault="000C30A6" w:rsidP="000C30A6">
            <w:pPr>
              <w:pStyle w:val="TableText"/>
            </w:pPr>
          </w:p>
        </w:tc>
        <w:tc>
          <w:tcPr>
            <w:tcW w:w="7146" w:type="dxa"/>
            <w:gridSpan w:val="6"/>
          </w:tcPr>
          <w:p w14:paraId="5D466B36" w14:textId="77777777" w:rsidR="000C30A6" w:rsidRPr="00B12A87" w:rsidRDefault="00307261" w:rsidP="00B2312D">
            <w:pPr>
              <w:pStyle w:val="TableSideHeading"/>
              <w:tabs>
                <w:tab w:val="left" w:pos="2226"/>
                <w:tab w:val="center" w:pos="3573"/>
              </w:tabs>
              <w:rPr>
                <w:rtl/>
              </w:rPr>
            </w:pPr>
            <w:r>
              <w:rPr>
                <w:rtl/>
              </w:rPr>
              <w:tab/>
            </w:r>
            <w:r>
              <w:rPr>
                <w:rtl/>
              </w:rPr>
              <w:tab/>
            </w:r>
            <w:r>
              <w:rPr>
                <w:rtl/>
              </w:rPr>
              <w:tab/>
            </w:r>
            <w:r>
              <w:rPr>
                <w:rtl/>
              </w:rPr>
              <w:tab/>
            </w:r>
            <w:bookmarkStart w:id="17" w:name="_Toc53333067"/>
            <w:bookmarkStart w:id="18" w:name="_Toc53333093"/>
            <w:r w:rsidR="000C30A6">
              <w:rPr>
                <w:rFonts w:hint="cs"/>
                <w:rtl/>
              </w:rPr>
              <w:t>(תקנה 5א)</w:t>
            </w:r>
            <w:bookmarkEnd w:id="17"/>
            <w:bookmarkEnd w:id="18"/>
          </w:p>
        </w:tc>
      </w:tr>
    </w:tbl>
    <w:p w14:paraId="1DBFF38C" w14:textId="77777777" w:rsidR="000C30A6" w:rsidRDefault="000C30A6" w:rsidP="000C30A6">
      <w:pPr>
        <w:pStyle w:val="af2"/>
        <w:rPr>
          <w:rFonts w:cs="FrankRuehl"/>
          <w:sz w:val="24"/>
          <w:szCs w:val="24"/>
          <w:rtl/>
        </w:rPr>
      </w:pPr>
    </w:p>
    <w:p w14:paraId="67EEFCAD" w14:textId="77777777" w:rsidR="000C30A6" w:rsidRPr="000949D0" w:rsidRDefault="000C30A6" w:rsidP="000C30A6">
      <w:pPr>
        <w:pStyle w:val="2"/>
        <w:jc w:val="center"/>
        <w:rPr>
          <w:caps/>
        </w:rPr>
      </w:pPr>
      <w:bookmarkStart w:id="19" w:name="_Toc393794566"/>
      <w:bookmarkStart w:id="20" w:name="_Toc418694661"/>
      <w:bookmarkStart w:id="21" w:name="_Toc418696336"/>
      <w:bookmarkStart w:id="22" w:name="_Toc418696591"/>
      <w:bookmarkStart w:id="23" w:name="_Toc418696818"/>
      <w:bookmarkStart w:id="24" w:name="_Toc421020623"/>
      <w:bookmarkStart w:id="25" w:name="_Toc422399644"/>
      <w:bookmarkStart w:id="26" w:name="_Toc422400041"/>
      <w:bookmarkStart w:id="27" w:name="_Toc430953584"/>
      <w:bookmarkStart w:id="28" w:name="_Toc53333068"/>
      <w:bookmarkStart w:id="29" w:name="_Toc53333094"/>
      <w:r w:rsidRPr="000949D0">
        <w:rPr>
          <w:caps/>
        </w:rPr>
        <w:t>a. model template for the Country-by-Country Report</w:t>
      </w:r>
      <w:bookmarkEnd w:id="19"/>
      <w:bookmarkEnd w:id="20"/>
      <w:bookmarkEnd w:id="21"/>
      <w:bookmarkEnd w:id="22"/>
      <w:bookmarkEnd w:id="23"/>
      <w:bookmarkEnd w:id="24"/>
      <w:bookmarkEnd w:id="25"/>
      <w:bookmarkEnd w:id="26"/>
      <w:bookmarkEnd w:id="27"/>
      <w:bookmarkEnd w:id="28"/>
      <w:bookmarkEnd w:id="29"/>
    </w:p>
    <w:bookmarkStart w:id="30" w:name="_Toc392691544"/>
    <w:bookmarkStart w:id="31" w:name="_Toc393187578"/>
    <w:bookmarkStart w:id="32" w:name="_Toc393187732"/>
    <w:p w14:paraId="5660693D" w14:textId="77777777" w:rsidR="000C30A6" w:rsidRDefault="000C30A6" w:rsidP="000C30A6">
      <w:pPr>
        <w:pStyle w:val="TableTitle"/>
      </w:pPr>
      <w:r>
        <w:fldChar w:fldCharType="begin"/>
      </w:r>
      <w:r>
        <w:instrText xml:space="preserve"> MACROBUTTON NUMBERING Table </w:instrText>
      </w:r>
      <w:r>
        <w:fldChar w:fldCharType="begin"/>
      </w:r>
      <w:r>
        <w:instrText xml:space="preserve"> SEQ  table</w:instrText>
      </w:r>
      <w:r>
        <w:fldChar w:fldCharType="separate"/>
      </w:r>
      <w:r>
        <w:rPr>
          <w:noProof/>
        </w:rPr>
        <w:instrText>1</w:instrText>
      </w:r>
      <w:r>
        <w:fldChar w:fldCharType="end"/>
      </w:r>
      <w:r>
        <w:instrText>.</w:instrText>
      </w:r>
      <w:r>
        <w:tab/>
      </w:r>
      <w:r>
        <w:fldChar w:fldCharType="end"/>
      </w:r>
      <w:r w:rsidRPr="00D51AAA">
        <w:t>Overview of allocation of income, taxes and business activities by tax jurisdiction</w:t>
      </w:r>
      <w:bookmarkEnd w:id="30"/>
      <w:bookmarkEnd w:id="31"/>
      <w:bookmarkEnd w:id="32"/>
    </w:p>
    <w:p w14:paraId="4BB234AF" w14:textId="77777777" w:rsidR="000C30A6" w:rsidRPr="00EB52F2" w:rsidRDefault="000C30A6" w:rsidP="000C30A6">
      <w:pPr>
        <w:pStyle w:val="TableTitl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
        <w:gridCol w:w="930"/>
        <w:gridCol w:w="784"/>
        <w:gridCol w:w="583"/>
        <w:gridCol w:w="756"/>
        <w:gridCol w:w="756"/>
        <w:gridCol w:w="820"/>
        <w:gridCol w:w="692"/>
        <w:gridCol w:w="1168"/>
        <w:gridCol w:w="1031"/>
        <w:gridCol w:w="1067"/>
      </w:tblGrid>
      <w:tr w:rsidR="000C30A6" w:rsidRPr="00D51AAA" w14:paraId="151E6CC9" w14:textId="77777777" w:rsidTr="003055DA">
        <w:tc>
          <w:tcPr>
            <w:tcW w:w="5000" w:type="pct"/>
            <w:gridSpan w:val="11"/>
            <w:shd w:val="clear" w:color="auto" w:fill="auto"/>
          </w:tcPr>
          <w:p w14:paraId="0E9BEA27" w14:textId="77777777" w:rsidR="000C30A6" w:rsidRPr="00D51AAA" w:rsidRDefault="000C30A6" w:rsidP="003055DA">
            <w:pPr>
              <w:pStyle w:val="ColumnsHeading"/>
              <w:spacing w:before="120"/>
              <w:rPr>
                <w:sz w:val="19"/>
                <w:szCs w:val="19"/>
              </w:rPr>
            </w:pPr>
            <w:r w:rsidRPr="00D51AAA">
              <w:rPr>
                <w:sz w:val="19"/>
                <w:szCs w:val="19"/>
              </w:rPr>
              <w:t>Name of the MNE group:</w:t>
            </w:r>
          </w:p>
          <w:p w14:paraId="0E72A613" w14:textId="77777777" w:rsidR="000C30A6" w:rsidRDefault="000C30A6" w:rsidP="003055DA">
            <w:pPr>
              <w:pStyle w:val="ColumnsHeading"/>
              <w:rPr>
                <w:sz w:val="19"/>
                <w:szCs w:val="19"/>
              </w:rPr>
            </w:pPr>
            <w:r w:rsidRPr="00D51AAA">
              <w:rPr>
                <w:sz w:val="19"/>
                <w:szCs w:val="19"/>
              </w:rPr>
              <w:t>Fiscal year concerned:</w:t>
            </w:r>
          </w:p>
          <w:p w14:paraId="5F59DA74" w14:textId="77777777" w:rsidR="000C30A6" w:rsidRPr="006C4130" w:rsidRDefault="000C30A6" w:rsidP="003055DA">
            <w:pPr>
              <w:pStyle w:val="ColumnsHeading"/>
              <w:spacing w:after="120"/>
            </w:pPr>
            <w:r>
              <w:t xml:space="preserve">Currency used: </w:t>
            </w:r>
          </w:p>
        </w:tc>
      </w:tr>
      <w:tr w:rsidR="000C30A6" w:rsidRPr="00D51AAA" w14:paraId="19277A15" w14:textId="77777777" w:rsidTr="003055DA">
        <w:tc>
          <w:tcPr>
            <w:tcW w:w="488" w:type="pct"/>
            <w:vMerge w:val="restart"/>
            <w:shd w:val="clear" w:color="auto" w:fill="D9D9D9" w:themeFill="background1" w:themeFillShade="D9"/>
            <w:vAlign w:val="center"/>
          </w:tcPr>
          <w:p w14:paraId="4B4009ED" w14:textId="77777777" w:rsidR="000C30A6" w:rsidRPr="00D51AAA" w:rsidRDefault="000C30A6" w:rsidP="003055DA">
            <w:pPr>
              <w:pStyle w:val="ColumnsHeading"/>
            </w:pPr>
            <w:r w:rsidRPr="00D51AAA">
              <w:t>Tax Jurisdiction</w:t>
            </w:r>
          </w:p>
        </w:tc>
        <w:tc>
          <w:tcPr>
            <w:tcW w:w="1307" w:type="pct"/>
            <w:gridSpan w:val="3"/>
            <w:shd w:val="clear" w:color="auto" w:fill="D9D9D9" w:themeFill="background1" w:themeFillShade="D9"/>
          </w:tcPr>
          <w:p w14:paraId="72C997B2" w14:textId="77777777" w:rsidR="000C30A6" w:rsidRPr="00D51AAA" w:rsidRDefault="000C30A6" w:rsidP="003055DA">
            <w:pPr>
              <w:pStyle w:val="ColumnsHeading"/>
              <w:spacing w:before="120" w:after="120"/>
            </w:pPr>
            <w:r w:rsidRPr="00D51AAA">
              <w:t>Revenues</w:t>
            </w:r>
          </w:p>
        </w:tc>
        <w:tc>
          <w:tcPr>
            <w:tcW w:w="415" w:type="pct"/>
            <w:vMerge w:val="restart"/>
            <w:shd w:val="clear" w:color="auto" w:fill="D9D9D9" w:themeFill="background1" w:themeFillShade="D9"/>
            <w:vAlign w:val="center"/>
          </w:tcPr>
          <w:p w14:paraId="3ACD7642" w14:textId="77777777" w:rsidR="000C30A6" w:rsidRPr="00D51AAA" w:rsidRDefault="000C30A6" w:rsidP="003055DA">
            <w:pPr>
              <w:pStyle w:val="ColumnsHeading"/>
            </w:pPr>
            <w:r w:rsidRPr="00D51AAA">
              <w:t>Profit (Loss) Before Income Tax</w:t>
            </w:r>
          </w:p>
        </w:tc>
        <w:tc>
          <w:tcPr>
            <w:tcW w:w="415" w:type="pct"/>
            <w:vMerge w:val="restart"/>
            <w:shd w:val="clear" w:color="auto" w:fill="D9D9D9" w:themeFill="background1" w:themeFillShade="D9"/>
            <w:vAlign w:val="center"/>
          </w:tcPr>
          <w:p w14:paraId="773E9FB5" w14:textId="77777777" w:rsidR="000C30A6" w:rsidRPr="00D51AAA" w:rsidRDefault="000C30A6" w:rsidP="003055DA">
            <w:pPr>
              <w:pStyle w:val="ColumnsHeading"/>
            </w:pPr>
            <w:r w:rsidRPr="00D51AAA">
              <w:t>Income Tax Paid (on cash basis)</w:t>
            </w:r>
          </w:p>
        </w:tc>
        <w:tc>
          <w:tcPr>
            <w:tcW w:w="415" w:type="pct"/>
            <w:vMerge w:val="restart"/>
            <w:shd w:val="clear" w:color="auto" w:fill="D9D9D9" w:themeFill="background1" w:themeFillShade="D9"/>
            <w:vAlign w:val="center"/>
          </w:tcPr>
          <w:p w14:paraId="3881EBE0" w14:textId="77777777" w:rsidR="000C30A6" w:rsidRPr="00D51AAA" w:rsidRDefault="000C30A6" w:rsidP="003055DA">
            <w:pPr>
              <w:pStyle w:val="ColumnsHeading"/>
            </w:pPr>
            <w:r w:rsidRPr="00D51AAA">
              <w:t>Income Tax Accrued – Current Year</w:t>
            </w:r>
          </w:p>
        </w:tc>
        <w:tc>
          <w:tcPr>
            <w:tcW w:w="376" w:type="pct"/>
            <w:vMerge w:val="restart"/>
            <w:shd w:val="clear" w:color="auto" w:fill="D9D9D9" w:themeFill="background1" w:themeFillShade="D9"/>
            <w:vAlign w:val="center"/>
          </w:tcPr>
          <w:p w14:paraId="6B42B36F" w14:textId="77777777" w:rsidR="000C30A6" w:rsidRPr="00D51AAA" w:rsidRDefault="000C30A6" w:rsidP="003055DA">
            <w:pPr>
              <w:pStyle w:val="ColumnsHeading"/>
            </w:pPr>
            <w:r w:rsidRPr="00D51AAA">
              <w:t>Stated capital</w:t>
            </w:r>
          </w:p>
        </w:tc>
        <w:tc>
          <w:tcPr>
            <w:tcW w:w="549" w:type="pct"/>
            <w:vMerge w:val="restart"/>
            <w:shd w:val="clear" w:color="auto" w:fill="D9D9D9" w:themeFill="background1" w:themeFillShade="D9"/>
            <w:vAlign w:val="center"/>
          </w:tcPr>
          <w:p w14:paraId="78EA98F7" w14:textId="77777777" w:rsidR="000C30A6" w:rsidRPr="00D51AAA" w:rsidRDefault="000C30A6" w:rsidP="003055DA">
            <w:pPr>
              <w:pStyle w:val="ColumnsHeading"/>
            </w:pPr>
            <w:r w:rsidRPr="00D51AAA">
              <w:t>Accumulated earnings</w:t>
            </w:r>
          </w:p>
        </w:tc>
        <w:tc>
          <w:tcPr>
            <w:tcW w:w="488" w:type="pct"/>
            <w:vMerge w:val="restart"/>
            <w:shd w:val="clear" w:color="auto" w:fill="D9D9D9" w:themeFill="background1" w:themeFillShade="D9"/>
            <w:vAlign w:val="center"/>
          </w:tcPr>
          <w:p w14:paraId="5AFB2E72" w14:textId="77777777" w:rsidR="000C30A6" w:rsidRPr="00D51AAA" w:rsidRDefault="000C30A6" w:rsidP="003055DA">
            <w:pPr>
              <w:pStyle w:val="ColumnsHeading"/>
            </w:pPr>
            <w:r w:rsidRPr="00D51AAA">
              <w:t>Number of Employees</w:t>
            </w:r>
          </w:p>
        </w:tc>
        <w:tc>
          <w:tcPr>
            <w:tcW w:w="549" w:type="pct"/>
            <w:vMerge w:val="restart"/>
            <w:shd w:val="clear" w:color="auto" w:fill="D9D9D9" w:themeFill="background1" w:themeFillShade="D9"/>
            <w:vAlign w:val="center"/>
          </w:tcPr>
          <w:p w14:paraId="7131A8D9" w14:textId="77777777" w:rsidR="000C30A6" w:rsidRPr="00D51AAA" w:rsidRDefault="000C30A6" w:rsidP="003055DA">
            <w:pPr>
              <w:pStyle w:val="ColumnsHeading"/>
            </w:pPr>
            <w:r w:rsidRPr="00D51AAA">
              <w:t>Tangible Assets other than Cash and Cash Equivalents</w:t>
            </w:r>
          </w:p>
        </w:tc>
      </w:tr>
      <w:tr w:rsidR="000C30A6" w:rsidRPr="00D51AAA" w14:paraId="2003B0AE" w14:textId="77777777" w:rsidTr="003055DA">
        <w:tc>
          <w:tcPr>
            <w:tcW w:w="488" w:type="pct"/>
            <w:vMerge/>
            <w:shd w:val="clear" w:color="auto" w:fill="auto"/>
          </w:tcPr>
          <w:p w14:paraId="1A8324D0" w14:textId="77777777" w:rsidR="000C30A6" w:rsidRPr="00D51AAA" w:rsidRDefault="000C30A6" w:rsidP="003055DA">
            <w:pPr>
              <w:pStyle w:val="RowsHeading"/>
            </w:pPr>
          </w:p>
        </w:tc>
        <w:tc>
          <w:tcPr>
            <w:tcW w:w="477" w:type="pct"/>
            <w:shd w:val="clear" w:color="auto" w:fill="D9D9D9" w:themeFill="background1" w:themeFillShade="D9"/>
            <w:vAlign w:val="center"/>
          </w:tcPr>
          <w:p w14:paraId="34280758" w14:textId="77777777" w:rsidR="000C30A6" w:rsidRPr="00D51AAA" w:rsidRDefault="000C30A6" w:rsidP="003055DA">
            <w:pPr>
              <w:pStyle w:val="Cell"/>
              <w:jc w:val="center"/>
            </w:pPr>
            <w:r w:rsidRPr="00D51AAA">
              <w:t>Unrelated Party</w:t>
            </w:r>
          </w:p>
        </w:tc>
        <w:tc>
          <w:tcPr>
            <w:tcW w:w="415" w:type="pct"/>
            <w:shd w:val="clear" w:color="auto" w:fill="D9D9D9" w:themeFill="background1" w:themeFillShade="D9"/>
            <w:vAlign w:val="center"/>
          </w:tcPr>
          <w:p w14:paraId="7EAE9541" w14:textId="77777777" w:rsidR="000C30A6" w:rsidRPr="00D51AAA" w:rsidRDefault="000C30A6" w:rsidP="003055DA">
            <w:pPr>
              <w:pStyle w:val="Cell"/>
              <w:jc w:val="center"/>
            </w:pPr>
            <w:r w:rsidRPr="00D51AAA">
              <w:t>Related Party</w:t>
            </w:r>
          </w:p>
        </w:tc>
        <w:tc>
          <w:tcPr>
            <w:tcW w:w="415" w:type="pct"/>
            <w:shd w:val="clear" w:color="auto" w:fill="D9D9D9" w:themeFill="background1" w:themeFillShade="D9"/>
            <w:vAlign w:val="center"/>
          </w:tcPr>
          <w:p w14:paraId="0AA0DA19" w14:textId="77777777" w:rsidR="000C30A6" w:rsidRPr="00D51AAA" w:rsidRDefault="000C30A6" w:rsidP="003055DA">
            <w:pPr>
              <w:pStyle w:val="Cell"/>
              <w:jc w:val="center"/>
            </w:pPr>
            <w:r w:rsidRPr="00D51AAA">
              <w:t>Total</w:t>
            </w:r>
          </w:p>
        </w:tc>
        <w:tc>
          <w:tcPr>
            <w:tcW w:w="415" w:type="pct"/>
            <w:vMerge/>
            <w:shd w:val="clear" w:color="auto" w:fill="auto"/>
          </w:tcPr>
          <w:p w14:paraId="57DBB1BE" w14:textId="77777777" w:rsidR="000C30A6" w:rsidRPr="00D51AAA" w:rsidRDefault="000C30A6" w:rsidP="003055DA">
            <w:pPr>
              <w:pStyle w:val="Cell"/>
            </w:pPr>
          </w:p>
        </w:tc>
        <w:tc>
          <w:tcPr>
            <w:tcW w:w="415" w:type="pct"/>
            <w:vMerge/>
            <w:shd w:val="clear" w:color="auto" w:fill="auto"/>
          </w:tcPr>
          <w:p w14:paraId="223EBCDD" w14:textId="77777777" w:rsidR="000C30A6" w:rsidRPr="00D51AAA" w:rsidRDefault="000C30A6" w:rsidP="003055DA">
            <w:pPr>
              <w:pStyle w:val="Cell"/>
            </w:pPr>
          </w:p>
        </w:tc>
        <w:tc>
          <w:tcPr>
            <w:tcW w:w="415" w:type="pct"/>
            <w:vMerge/>
            <w:shd w:val="clear" w:color="auto" w:fill="auto"/>
          </w:tcPr>
          <w:p w14:paraId="5BE020E8" w14:textId="77777777" w:rsidR="000C30A6" w:rsidRPr="00D51AAA" w:rsidRDefault="000C30A6" w:rsidP="003055DA">
            <w:pPr>
              <w:pStyle w:val="Cell"/>
            </w:pPr>
          </w:p>
        </w:tc>
        <w:tc>
          <w:tcPr>
            <w:tcW w:w="376" w:type="pct"/>
            <w:vMerge/>
            <w:shd w:val="clear" w:color="auto" w:fill="auto"/>
          </w:tcPr>
          <w:p w14:paraId="405B4E15" w14:textId="77777777" w:rsidR="000C30A6" w:rsidRPr="00D51AAA" w:rsidRDefault="000C30A6" w:rsidP="003055DA">
            <w:pPr>
              <w:pStyle w:val="Cell"/>
            </w:pPr>
          </w:p>
        </w:tc>
        <w:tc>
          <w:tcPr>
            <w:tcW w:w="549" w:type="pct"/>
            <w:vMerge/>
            <w:shd w:val="clear" w:color="auto" w:fill="auto"/>
          </w:tcPr>
          <w:p w14:paraId="09CF4164" w14:textId="77777777" w:rsidR="000C30A6" w:rsidRPr="00D51AAA" w:rsidRDefault="000C30A6" w:rsidP="003055DA">
            <w:pPr>
              <w:pStyle w:val="Cell"/>
            </w:pPr>
          </w:p>
        </w:tc>
        <w:tc>
          <w:tcPr>
            <w:tcW w:w="488" w:type="pct"/>
            <w:vMerge/>
            <w:shd w:val="clear" w:color="auto" w:fill="auto"/>
          </w:tcPr>
          <w:p w14:paraId="6F0C50EC" w14:textId="77777777" w:rsidR="000C30A6" w:rsidRPr="00D51AAA" w:rsidRDefault="000C30A6" w:rsidP="003055DA">
            <w:pPr>
              <w:pStyle w:val="Cell"/>
            </w:pPr>
          </w:p>
        </w:tc>
        <w:tc>
          <w:tcPr>
            <w:tcW w:w="549" w:type="pct"/>
            <w:vMerge/>
            <w:shd w:val="clear" w:color="auto" w:fill="auto"/>
          </w:tcPr>
          <w:p w14:paraId="46896565" w14:textId="77777777" w:rsidR="000C30A6" w:rsidRPr="00D51AAA" w:rsidRDefault="000C30A6" w:rsidP="003055DA">
            <w:pPr>
              <w:pStyle w:val="Cell"/>
            </w:pPr>
          </w:p>
        </w:tc>
      </w:tr>
      <w:tr w:rsidR="000C30A6" w:rsidRPr="00D51AAA" w14:paraId="24EECB82" w14:textId="77777777" w:rsidTr="003055DA">
        <w:tc>
          <w:tcPr>
            <w:tcW w:w="488" w:type="pct"/>
            <w:shd w:val="clear" w:color="auto" w:fill="auto"/>
          </w:tcPr>
          <w:p w14:paraId="489DC6A5" w14:textId="77777777" w:rsidR="000C30A6" w:rsidRPr="00D51AAA" w:rsidRDefault="000C30A6" w:rsidP="003055DA">
            <w:pPr>
              <w:pStyle w:val="RowsHeading"/>
              <w:spacing w:before="120" w:after="120"/>
            </w:pPr>
          </w:p>
        </w:tc>
        <w:tc>
          <w:tcPr>
            <w:tcW w:w="477" w:type="pct"/>
            <w:shd w:val="clear" w:color="auto" w:fill="auto"/>
          </w:tcPr>
          <w:p w14:paraId="67DA9410" w14:textId="77777777" w:rsidR="000C30A6" w:rsidRPr="00D51AAA" w:rsidRDefault="000C30A6" w:rsidP="003055DA">
            <w:pPr>
              <w:pStyle w:val="Cell"/>
              <w:spacing w:before="120" w:after="120"/>
            </w:pPr>
          </w:p>
        </w:tc>
        <w:tc>
          <w:tcPr>
            <w:tcW w:w="415" w:type="pct"/>
            <w:shd w:val="clear" w:color="auto" w:fill="auto"/>
          </w:tcPr>
          <w:p w14:paraId="476F07C6" w14:textId="77777777" w:rsidR="000C30A6" w:rsidRPr="00D51AAA" w:rsidRDefault="000C30A6" w:rsidP="003055DA">
            <w:pPr>
              <w:pStyle w:val="Cell"/>
              <w:spacing w:before="120" w:after="120"/>
            </w:pPr>
          </w:p>
        </w:tc>
        <w:tc>
          <w:tcPr>
            <w:tcW w:w="415" w:type="pct"/>
            <w:shd w:val="clear" w:color="auto" w:fill="auto"/>
          </w:tcPr>
          <w:p w14:paraId="098A083B" w14:textId="77777777" w:rsidR="000C30A6" w:rsidRPr="00D51AAA" w:rsidRDefault="000C30A6" w:rsidP="003055DA">
            <w:pPr>
              <w:pStyle w:val="Cell"/>
              <w:spacing w:before="120" w:after="120"/>
            </w:pPr>
          </w:p>
        </w:tc>
        <w:tc>
          <w:tcPr>
            <w:tcW w:w="415" w:type="pct"/>
            <w:shd w:val="clear" w:color="auto" w:fill="auto"/>
          </w:tcPr>
          <w:p w14:paraId="0F6A75FC" w14:textId="77777777" w:rsidR="000C30A6" w:rsidRPr="00D51AAA" w:rsidRDefault="000C30A6" w:rsidP="003055DA">
            <w:pPr>
              <w:pStyle w:val="Cell"/>
              <w:spacing w:before="120" w:after="120"/>
            </w:pPr>
          </w:p>
        </w:tc>
        <w:tc>
          <w:tcPr>
            <w:tcW w:w="415" w:type="pct"/>
            <w:shd w:val="clear" w:color="auto" w:fill="auto"/>
          </w:tcPr>
          <w:p w14:paraId="023D0105" w14:textId="77777777" w:rsidR="000C30A6" w:rsidRPr="00D51AAA" w:rsidRDefault="000C30A6" w:rsidP="003055DA">
            <w:pPr>
              <w:pStyle w:val="Cell"/>
              <w:spacing w:before="120" w:after="120"/>
            </w:pPr>
          </w:p>
        </w:tc>
        <w:tc>
          <w:tcPr>
            <w:tcW w:w="415" w:type="pct"/>
            <w:shd w:val="clear" w:color="auto" w:fill="auto"/>
          </w:tcPr>
          <w:p w14:paraId="795CC054" w14:textId="77777777" w:rsidR="000C30A6" w:rsidRPr="00D51AAA" w:rsidRDefault="000C30A6" w:rsidP="003055DA">
            <w:pPr>
              <w:pStyle w:val="Cell"/>
              <w:spacing w:before="120" w:after="120"/>
            </w:pPr>
          </w:p>
        </w:tc>
        <w:tc>
          <w:tcPr>
            <w:tcW w:w="376" w:type="pct"/>
            <w:shd w:val="clear" w:color="auto" w:fill="auto"/>
          </w:tcPr>
          <w:p w14:paraId="764B5A77" w14:textId="77777777" w:rsidR="000C30A6" w:rsidRPr="00D51AAA" w:rsidRDefault="000C30A6" w:rsidP="003055DA">
            <w:pPr>
              <w:pStyle w:val="Cell"/>
              <w:spacing w:before="120" w:after="120"/>
            </w:pPr>
          </w:p>
        </w:tc>
        <w:tc>
          <w:tcPr>
            <w:tcW w:w="549" w:type="pct"/>
            <w:shd w:val="clear" w:color="auto" w:fill="auto"/>
          </w:tcPr>
          <w:p w14:paraId="43DA730D" w14:textId="77777777" w:rsidR="000C30A6" w:rsidRPr="00D51AAA" w:rsidRDefault="000C30A6" w:rsidP="003055DA">
            <w:pPr>
              <w:pStyle w:val="Cell"/>
              <w:spacing w:before="120" w:after="120"/>
            </w:pPr>
          </w:p>
        </w:tc>
        <w:tc>
          <w:tcPr>
            <w:tcW w:w="488" w:type="pct"/>
            <w:shd w:val="clear" w:color="auto" w:fill="auto"/>
          </w:tcPr>
          <w:p w14:paraId="2E7CA240" w14:textId="77777777" w:rsidR="000C30A6" w:rsidRPr="00D51AAA" w:rsidRDefault="000C30A6" w:rsidP="003055DA">
            <w:pPr>
              <w:pStyle w:val="Cell"/>
              <w:spacing w:before="120" w:after="120"/>
            </w:pPr>
          </w:p>
        </w:tc>
        <w:tc>
          <w:tcPr>
            <w:tcW w:w="549" w:type="pct"/>
            <w:shd w:val="clear" w:color="auto" w:fill="auto"/>
          </w:tcPr>
          <w:p w14:paraId="7E6933A2" w14:textId="77777777" w:rsidR="000C30A6" w:rsidRPr="00D51AAA" w:rsidRDefault="000C30A6" w:rsidP="003055DA">
            <w:pPr>
              <w:pStyle w:val="Cell"/>
              <w:spacing w:before="120" w:after="120"/>
            </w:pPr>
          </w:p>
        </w:tc>
      </w:tr>
      <w:tr w:rsidR="000C30A6" w:rsidRPr="00D51AAA" w14:paraId="347E00B6" w14:textId="77777777" w:rsidTr="003055DA">
        <w:tc>
          <w:tcPr>
            <w:tcW w:w="488" w:type="pct"/>
            <w:shd w:val="clear" w:color="auto" w:fill="auto"/>
          </w:tcPr>
          <w:p w14:paraId="7802053A" w14:textId="77777777" w:rsidR="000C30A6" w:rsidRPr="00D51AAA" w:rsidRDefault="000C30A6" w:rsidP="003055DA">
            <w:pPr>
              <w:pStyle w:val="RowsHeading"/>
              <w:spacing w:before="120" w:after="120"/>
            </w:pPr>
          </w:p>
        </w:tc>
        <w:tc>
          <w:tcPr>
            <w:tcW w:w="477" w:type="pct"/>
            <w:shd w:val="clear" w:color="auto" w:fill="auto"/>
          </w:tcPr>
          <w:p w14:paraId="008F7B75" w14:textId="77777777" w:rsidR="000C30A6" w:rsidRPr="00D51AAA" w:rsidRDefault="000C30A6" w:rsidP="003055DA">
            <w:pPr>
              <w:pStyle w:val="Cell"/>
              <w:spacing w:before="120" w:after="120"/>
            </w:pPr>
          </w:p>
        </w:tc>
        <w:tc>
          <w:tcPr>
            <w:tcW w:w="415" w:type="pct"/>
            <w:shd w:val="clear" w:color="auto" w:fill="auto"/>
          </w:tcPr>
          <w:p w14:paraId="1B7FF4DF" w14:textId="77777777" w:rsidR="000C30A6" w:rsidRPr="00D51AAA" w:rsidRDefault="000C30A6" w:rsidP="003055DA">
            <w:pPr>
              <w:pStyle w:val="Cell"/>
              <w:spacing w:before="120" w:after="120"/>
            </w:pPr>
          </w:p>
        </w:tc>
        <w:tc>
          <w:tcPr>
            <w:tcW w:w="415" w:type="pct"/>
            <w:shd w:val="clear" w:color="auto" w:fill="auto"/>
          </w:tcPr>
          <w:p w14:paraId="16E1DFCA" w14:textId="77777777" w:rsidR="000C30A6" w:rsidRPr="00D51AAA" w:rsidRDefault="000C30A6" w:rsidP="003055DA">
            <w:pPr>
              <w:pStyle w:val="Cell"/>
              <w:spacing w:before="120" w:after="120"/>
            </w:pPr>
          </w:p>
        </w:tc>
        <w:tc>
          <w:tcPr>
            <w:tcW w:w="415" w:type="pct"/>
            <w:shd w:val="clear" w:color="auto" w:fill="auto"/>
          </w:tcPr>
          <w:p w14:paraId="72530004" w14:textId="77777777" w:rsidR="000C30A6" w:rsidRPr="00D51AAA" w:rsidRDefault="000C30A6" w:rsidP="003055DA">
            <w:pPr>
              <w:pStyle w:val="Cell"/>
              <w:spacing w:before="120" w:after="120"/>
            </w:pPr>
          </w:p>
        </w:tc>
        <w:tc>
          <w:tcPr>
            <w:tcW w:w="415" w:type="pct"/>
            <w:shd w:val="clear" w:color="auto" w:fill="auto"/>
          </w:tcPr>
          <w:p w14:paraId="7534816A" w14:textId="77777777" w:rsidR="000C30A6" w:rsidRPr="00D51AAA" w:rsidRDefault="000C30A6" w:rsidP="003055DA">
            <w:pPr>
              <w:pStyle w:val="Cell"/>
              <w:spacing w:before="120" w:after="120"/>
            </w:pPr>
          </w:p>
        </w:tc>
        <w:tc>
          <w:tcPr>
            <w:tcW w:w="415" w:type="pct"/>
            <w:shd w:val="clear" w:color="auto" w:fill="auto"/>
          </w:tcPr>
          <w:p w14:paraId="7A55AD93" w14:textId="77777777" w:rsidR="000C30A6" w:rsidRPr="00B2312D" w:rsidRDefault="000C30A6" w:rsidP="003055DA">
            <w:pPr>
              <w:pStyle w:val="Cell"/>
              <w:spacing w:before="120" w:after="120"/>
              <w:rPr>
                <w:lang w:val="en-US"/>
              </w:rPr>
            </w:pPr>
          </w:p>
        </w:tc>
        <w:tc>
          <w:tcPr>
            <w:tcW w:w="376" w:type="pct"/>
            <w:shd w:val="clear" w:color="auto" w:fill="auto"/>
          </w:tcPr>
          <w:p w14:paraId="43F0DA29" w14:textId="77777777" w:rsidR="000C30A6" w:rsidRPr="00D51AAA" w:rsidRDefault="000C30A6" w:rsidP="003055DA">
            <w:pPr>
              <w:pStyle w:val="Cell"/>
              <w:spacing w:before="120" w:after="120"/>
            </w:pPr>
          </w:p>
        </w:tc>
        <w:tc>
          <w:tcPr>
            <w:tcW w:w="549" w:type="pct"/>
            <w:shd w:val="clear" w:color="auto" w:fill="auto"/>
          </w:tcPr>
          <w:p w14:paraId="09EE372E" w14:textId="77777777" w:rsidR="000C30A6" w:rsidRPr="00D51AAA" w:rsidRDefault="000C30A6" w:rsidP="003055DA">
            <w:pPr>
              <w:pStyle w:val="Cell"/>
              <w:spacing w:before="120" w:after="120"/>
            </w:pPr>
          </w:p>
        </w:tc>
        <w:tc>
          <w:tcPr>
            <w:tcW w:w="488" w:type="pct"/>
            <w:shd w:val="clear" w:color="auto" w:fill="auto"/>
          </w:tcPr>
          <w:p w14:paraId="12C7A2DA" w14:textId="77777777" w:rsidR="000C30A6" w:rsidRPr="00B2312D" w:rsidRDefault="000C30A6" w:rsidP="003055DA">
            <w:pPr>
              <w:pStyle w:val="Cell"/>
              <w:spacing w:before="120" w:after="120"/>
              <w:rPr>
                <w:lang w:val="en-US"/>
              </w:rPr>
            </w:pPr>
          </w:p>
        </w:tc>
        <w:tc>
          <w:tcPr>
            <w:tcW w:w="549" w:type="pct"/>
            <w:shd w:val="clear" w:color="auto" w:fill="auto"/>
          </w:tcPr>
          <w:p w14:paraId="0FBF2F15" w14:textId="77777777" w:rsidR="000C30A6" w:rsidRPr="00D51AAA" w:rsidRDefault="000C30A6" w:rsidP="003055DA">
            <w:pPr>
              <w:pStyle w:val="Cell"/>
              <w:spacing w:before="120" w:after="120"/>
            </w:pPr>
          </w:p>
        </w:tc>
      </w:tr>
      <w:tr w:rsidR="000C30A6" w:rsidRPr="00D51AAA" w14:paraId="7B289372" w14:textId="77777777" w:rsidTr="003055DA">
        <w:tc>
          <w:tcPr>
            <w:tcW w:w="488" w:type="pct"/>
            <w:shd w:val="clear" w:color="auto" w:fill="auto"/>
          </w:tcPr>
          <w:p w14:paraId="60EE15EA" w14:textId="77777777" w:rsidR="000C30A6" w:rsidRPr="00B2312D" w:rsidRDefault="000C30A6" w:rsidP="003055DA">
            <w:pPr>
              <w:pStyle w:val="RowsHeading"/>
              <w:spacing w:before="120" w:after="120"/>
              <w:rPr>
                <w:lang w:val="en-US"/>
              </w:rPr>
            </w:pPr>
          </w:p>
        </w:tc>
        <w:tc>
          <w:tcPr>
            <w:tcW w:w="477" w:type="pct"/>
            <w:shd w:val="clear" w:color="auto" w:fill="auto"/>
          </w:tcPr>
          <w:p w14:paraId="28CB9D02" w14:textId="77777777" w:rsidR="000C30A6" w:rsidRPr="00D51AAA" w:rsidRDefault="000C30A6" w:rsidP="003055DA">
            <w:pPr>
              <w:pStyle w:val="Cell"/>
              <w:spacing w:before="120" w:after="120"/>
            </w:pPr>
          </w:p>
        </w:tc>
        <w:tc>
          <w:tcPr>
            <w:tcW w:w="415" w:type="pct"/>
            <w:shd w:val="clear" w:color="auto" w:fill="auto"/>
          </w:tcPr>
          <w:p w14:paraId="265317E4" w14:textId="77777777" w:rsidR="000C30A6" w:rsidRPr="00B2312D" w:rsidRDefault="000C30A6" w:rsidP="003055DA">
            <w:pPr>
              <w:pStyle w:val="Cell"/>
              <w:spacing w:before="120" w:after="120"/>
              <w:rPr>
                <w:lang w:val="en-US"/>
              </w:rPr>
            </w:pPr>
          </w:p>
        </w:tc>
        <w:tc>
          <w:tcPr>
            <w:tcW w:w="415" w:type="pct"/>
            <w:shd w:val="clear" w:color="auto" w:fill="auto"/>
          </w:tcPr>
          <w:p w14:paraId="5CC84837" w14:textId="77777777" w:rsidR="000C30A6" w:rsidRPr="00B2312D" w:rsidRDefault="000C30A6" w:rsidP="003055DA">
            <w:pPr>
              <w:pStyle w:val="Cell"/>
              <w:spacing w:before="120" w:after="120"/>
              <w:rPr>
                <w:lang w:val="en-US"/>
              </w:rPr>
            </w:pPr>
          </w:p>
        </w:tc>
        <w:tc>
          <w:tcPr>
            <w:tcW w:w="415" w:type="pct"/>
            <w:shd w:val="clear" w:color="auto" w:fill="auto"/>
          </w:tcPr>
          <w:p w14:paraId="0A873D47" w14:textId="77777777" w:rsidR="000C30A6" w:rsidRPr="00D51AAA" w:rsidRDefault="000C30A6" w:rsidP="003055DA">
            <w:pPr>
              <w:pStyle w:val="Cell"/>
              <w:spacing w:before="120" w:after="120"/>
            </w:pPr>
          </w:p>
        </w:tc>
        <w:tc>
          <w:tcPr>
            <w:tcW w:w="415" w:type="pct"/>
            <w:shd w:val="clear" w:color="auto" w:fill="auto"/>
          </w:tcPr>
          <w:p w14:paraId="0146715D" w14:textId="77777777" w:rsidR="000C30A6" w:rsidRPr="00D51AAA" w:rsidRDefault="000C30A6" w:rsidP="003055DA">
            <w:pPr>
              <w:pStyle w:val="Cell"/>
              <w:spacing w:before="120" w:after="120"/>
            </w:pPr>
          </w:p>
        </w:tc>
        <w:tc>
          <w:tcPr>
            <w:tcW w:w="415" w:type="pct"/>
            <w:shd w:val="clear" w:color="auto" w:fill="auto"/>
          </w:tcPr>
          <w:p w14:paraId="0677A27A" w14:textId="77777777" w:rsidR="000C30A6" w:rsidRPr="00B2312D" w:rsidRDefault="000C30A6" w:rsidP="003055DA">
            <w:pPr>
              <w:pStyle w:val="Cell"/>
              <w:spacing w:before="120" w:after="120"/>
              <w:rPr>
                <w:lang w:val="en-US"/>
              </w:rPr>
            </w:pPr>
          </w:p>
        </w:tc>
        <w:tc>
          <w:tcPr>
            <w:tcW w:w="376" w:type="pct"/>
            <w:shd w:val="clear" w:color="auto" w:fill="auto"/>
          </w:tcPr>
          <w:p w14:paraId="36A0E3CF" w14:textId="77777777" w:rsidR="000C30A6" w:rsidRPr="00D51AAA" w:rsidRDefault="000C30A6" w:rsidP="003055DA">
            <w:pPr>
              <w:pStyle w:val="Cell"/>
              <w:spacing w:before="120" w:after="120"/>
            </w:pPr>
          </w:p>
        </w:tc>
        <w:tc>
          <w:tcPr>
            <w:tcW w:w="549" w:type="pct"/>
            <w:shd w:val="clear" w:color="auto" w:fill="auto"/>
          </w:tcPr>
          <w:p w14:paraId="55505818" w14:textId="77777777" w:rsidR="000C30A6" w:rsidRPr="00D51AAA" w:rsidRDefault="000C30A6" w:rsidP="003055DA">
            <w:pPr>
              <w:pStyle w:val="Cell"/>
              <w:spacing w:before="120" w:after="120"/>
            </w:pPr>
          </w:p>
        </w:tc>
        <w:tc>
          <w:tcPr>
            <w:tcW w:w="488" w:type="pct"/>
            <w:shd w:val="clear" w:color="auto" w:fill="auto"/>
          </w:tcPr>
          <w:p w14:paraId="06506DC9" w14:textId="77777777" w:rsidR="000C30A6" w:rsidRPr="00B2312D" w:rsidRDefault="000C30A6" w:rsidP="003055DA">
            <w:pPr>
              <w:pStyle w:val="Cell"/>
              <w:spacing w:before="120" w:after="120"/>
              <w:rPr>
                <w:lang w:val="en-US"/>
              </w:rPr>
            </w:pPr>
          </w:p>
        </w:tc>
        <w:tc>
          <w:tcPr>
            <w:tcW w:w="549" w:type="pct"/>
            <w:shd w:val="clear" w:color="auto" w:fill="auto"/>
          </w:tcPr>
          <w:p w14:paraId="56905C0F" w14:textId="77777777" w:rsidR="000C30A6" w:rsidRPr="00D51AAA" w:rsidRDefault="000C30A6" w:rsidP="003055DA">
            <w:pPr>
              <w:pStyle w:val="Cell"/>
              <w:spacing w:before="120" w:after="120"/>
            </w:pPr>
          </w:p>
        </w:tc>
      </w:tr>
    </w:tbl>
    <w:p w14:paraId="5EAD811C" w14:textId="77777777" w:rsidR="000C30A6" w:rsidRDefault="000C30A6" w:rsidP="000C30A6">
      <w:pPr>
        <w:pStyle w:val="TableTitle"/>
      </w:pPr>
      <w:bookmarkStart w:id="33" w:name="_Toc392691545"/>
      <w:bookmarkStart w:id="34" w:name="_Toc393187579"/>
      <w:bookmarkStart w:id="35" w:name="_Toc393187733"/>
      <w:r>
        <w:br w:type="page"/>
      </w:r>
    </w:p>
    <w:p w14:paraId="413F0363" w14:textId="77777777" w:rsidR="00254EA8" w:rsidRDefault="00254EA8" w:rsidP="000C30A6">
      <w:pPr>
        <w:pStyle w:val="TableTitle"/>
      </w:pPr>
    </w:p>
    <w:p w14:paraId="2971BC3E" w14:textId="77777777" w:rsidR="00254EA8" w:rsidRPr="00B2312D" w:rsidRDefault="00254EA8" w:rsidP="000C30A6">
      <w:pPr>
        <w:pStyle w:val="TableTitle"/>
        <w:rPr>
          <w:lang w:val="en-US"/>
        </w:rPr>
      </w:pPr>
    </w:p>
    <w:p w14:paraId="0B4F50BF" w14:textId="77777777" w:rsidR="00254EA8" w:rsidRDefault="00254EA8" w:rsidP="000C30A6">
      <w:pPr>
        <w:pStyle w:val="TableTitle"/>
      </w:pPr>
    </w:p>
    <w:p w14:paraId="7CD96807" w14:textId="77777777" w:rsidR="000C30A6" w:rsidRDefault="000C30A6" w:rsidP="000C30A6">
      <w:pPr>
        <w:pStyle w:val="TableTitle"/>
      </w:pPr>
      <w:r>
        <w:fldChar w:fldCharType="begin"/>
      </w:r>
      <w:r>
        <w:instrText xml:space="preserve"> MACROBUTTON NUMBERING Table </w:instrText>
      </w:r>
      <w:r>
        <w:fldChar w:fldCharType="begin"/>
      </w:r>
      <w:r>
        <w:instrText xml:space="preserve"> SEQ  table</w:instrText>
      </w:r>
      <w:r>
        <w:fldChar w:fldCharType="separate"/>
      </w:r>
      <w:r>
        <w:rPr>
          <w:noProof/>
        </w:rPr>
        <w:instrText>2</w:instrText>
      </w:r>
      <w:r>
        <w:fldChar w:fldCharType="end"/>
      </w:r>
      <w:r>
        <w:instrText>.</w:instrText>
      </w:r>
      <w:r>
        <w:tab/>
      </w:r>
      <w:r>
        <w:fldChar w:fldCharType="end"/>
      </w:r>
      <w:r w:rsidRPr="00D51AAA">
        <w:t>List of all the Constituent Entities of the MNE group included in each aggregation per tax jurisdiction</w:t>
      </w:r>
      <w:bookmarkEnd w:id="33"/>
      <w:bookmarkEnd w:id="34"/>
      <w:bookmarkEnd w:id="35"/>
    </w:p>
    <w:tbl>
      <w:tblPr>
        <w:tblpPr w:leftFromText="180" w:rightFromText="180" w:horzAnchor="margin" w:tblpXSpec="center" w:tblpY="570"/>
        <w:tblW w:w="5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1158"/>
        <w:gridCol w:w="1288"/>
        <w:gridCol w:w="671"/>
        <w:gridCol w:w="660"/>
        <w:gridCol w:w="496"/>
        <w:gridCol w:w="671"/>
        <w:gridCol w:w="660"/>
        <w:gridCol w:w="639"/>
        <w:gridCol w:w="671"/>
        <w:gridCol w:w="494"/>
        <w:gridCol w:w="660"/>
        <w:gridCol w:w="496"/>
        <w:gridCol w:w="657"/>
        <w:gridCol w:w="329"/>
        <w:gridCol w:w="492"/>
      </w:tblGrid>
      <w:tr w:rsidR="000C30A6" w:rsidRPr="00D51AAA" w14:paraId="57644FC7" w14:textId="77777777" w:rsidTr="00B85C20">
        <w:trPr>
          <w:trHeight w:val="585"/>
        </w:trPr>
        <w:tc>
          <w:tcPr>
            <w:tcW w:w="5000" w:type="pct"/>
            <w:gridSpan w:val="16"/>
            <w:shd w:val="clear" w:color="auto" w:fill="FFFFFF" w:themeFill="background1"/>
            <w:vAlign w:val="center"/>
          </w:tcPr>
          <w:p w14:paraId="3B78E109" w14:textId="77777777" w:rsidR="000C30A6" w:rsidRPr="00D51AAA" w:rsidRDefault="000C30A6" w:rsidP="00B85C20">
            <w:pPr>
              <w:pStyle w:val="ColumnsHeading"/>
              <w:spacing w:before="120"/>
              <w:rPr>
                <w:sz w:val="19"/>
                <w:szCs w:val="19"/>
              </w:rPr>
            </w:pPr>
            <w:r w:rsidRPr="00D51AAA">
              <w:rPr>
                <w:sz w:val="19"/>
                <w:szCs w:val="19"/>
              </w:rPr>
              <w:t>Name of the MNE group:</w:t>
            </w:r>
          </w:p>
          <w:p w14:paraId="275DDFED" w14:textId="77777777" w:rsidR="000C30A6" w:rsidRPr="00D51AAA" w:rsidRDefault="000C30A6" w:rsidP="00B85C20">
            <w:pPr>
              <w:pStyle w:val="ColumnsHeading"/>
              <w:spacing w:after="120"/>
            </w:pPr>
            <w:r w:rsidRPr="00D51AAA">
              <w:rPr>
                <w:sz w:val="19"/>
                <w:szCs w:val="19"/>
              </w:rPr>
              <w:t>Fiscal year concerned:</w:t>
            </w:r>
          </w:p>
        </w:tc>
      </w:tr>
      <w:tr w:rsidR="000C30A6" w:rsidRPr="00D51AAA" w14:paraId="0C22F97E" w14:textId="77777777" w:rsidTr="00B85C20">
        <w:tc>
          <w:tcPr>
            <w:tcW w:w="509" w:type="pct"/>
            <w:vMerge w:val="restart"/>
            <w:shd w:val="clear" w:color="auto" w:fill="D9D9D9" w:themeFill="background1" w:themeFillShade="D9"/>
            <w:vAlign w:val="center"/>
          </w:tcPr>
          <w:p w14:paraId="3E55667A" w14:textId="77777777" w:rsidR="000C30A6" w:rsidRPr="00D51AAA" w:rsidRDefault="000C30A6" w:rsidP="00B85C20">
            <w:pPr>
              <w:pStyle w:val="ColumnsHeading"/>
            </w:pPr>
            <w:r w:rsidRPr="00D51AAA">
              <w:t>Tax Jurisdiction</w:t>
            </w:r>
          </w:p>
        </w:tc>
        <w:tc>
          <w:tcPr>
            <w:tcW w:w="518" w:type="pct"/>
            <w:vMerge w:val="restart"/>
            <w:shd w:val="clear" w:color="auto" w:fill="D9D9D9" w:themeFill="background1" w:themeFillShade="D9"/>
            <w:vAlign w:val="center"/>
          </w:tcPr>
          <w:p w14:paraId="6D492059" w14:textId="77777777" w:rsidR="000C30A6" w:rsidRPr="00D51AAA" w:rsidRDefault="000C30A6" w:rsidP="00B85C20">
            <w:pPr>
              <w:pStyle w:val="ColumnsHeading"/>
            </w:pPr>
            <w:r w:rsidRPr="00D51AAA">
              <w:t>Constituent Entities resident in the Tax Jurisdiction</w:t>
            </w:r>
          </w:p>
        </w:tc>
        <w:tc>
          <w:tcPr>
            <w:tcW w:w="576" w:type="pct"/>
            <w:vMerge w:val="restart"/>
            <w:shd w:val="clear" w:color="auto" w:fill="D9D9D9" w:themeFill="background1" w:themeFillShade="D9"/>
            <w:vAlign w:val="center"/>
          </w:tcPr>
          <w:p w14:paraId="296AE1DB" w14:textId="77777777" w:rsidR="000C30A6" w:rsidRPr="00D51AAA" w:rsidRDefault="000C30A6" w:rsidP="00B85C20">
            <w:pPr>
              <w:pStyle w:val="ColumnsHeading"/>
            </w:pPr>
            <w:r w:rsidRPr="00D51AAA">
              <w:t>Tax Jurisdiction of organisation or incorporation if different from Tax Jurisdiction of Residence</w:t>
            </w:r>
          </w:p>
        </w:tc>
        <w:tc>
          <w:tcPr>
            <w:tcW w:w="3397" w:type="pct"/>
            <w:gridSpan w:val="13"/>
            <w:shd w:val="clear" w:color="auto" w:fill="D9D9D9" w:themeFill="background1" w:themeFillShade="D9"/>
          </w:tcPr>
          <w:p w14:paraId="04675B37" w14:textId="77777777" w:rsidR="000C30A6" w:rsidRPr="007A305A" w:rsidRDefault="000C30A6" w:rsidP="00B85C20">
            <w:pPr>
              <w:pStyle w:val="ColumnsHeading"/>
              <w:spacing w:before="60" w:after="60"/>
              <w:rPr>
                <w:lang w:val="en-US"/>
              </w:rPr>
            </w:pPr>
            <w:r w:rsidRPr="00D51AAA">
              <w:t>Main bu</w:t>
            </w:r>
            <w:r>
              <w:t>siness activities</w:t>
            </w:r>
          </w:p>
        </w:tc>
      </w:tr>
      <w:tr w:rsidR="000C30A6" w:rsidRPr="00D51AAA" w14:paraId="76D9B9F6" w14:textId="77777777" w:rsidTr="00B85C20">
        <w:trPr>
          <w:cantSplit/>
          <w:trHeight w:val="2451"/>
        </w:trPr>
        <w:tc>
          <w:tcPr>
            <w:tcW w:w="509" w:type="pct"/>
            <w:vMerge/>
            <w:shd w:val="clear" w:color="auto" w:fill="D9D9D9" w:themeFill="background1" w:themeFillShade="D9"/>
          </w:tcPr>
          <w:p w14:paraId="34CA0634" w14:textId="77777777" w:rsidR="000C30A6" w:rsidRPr="00D51AAA" w:rsidRDefault="000C30A6" w:rsidP="00B85C20">
            <w:pPr>
              <w:pStyle w:val="ColumnsHeading"/>
            </w:pPr>
          </w:p>
        </w:tc>
        <w:tc>
          <w:tcPr>
            <w:tcW w:w="518" w:type="pct"/>
            <w:vMerge/>
            <w:shd w:val="clear" w:color="auto" w:fill="D9D9D9" w:themeFill="background1" w:themeFillShade="D9"/>
          </w:tcPr>
          <w:p w14:paraId="455CD1E8" w14:textId="77777777" w:rsidR="000C30A6" w:rsidRPr="00D51AAA" w:rsidRDefault="000C30A6" w:rsidP="00B85C20">
            <w:pPr>
              <w:pStyle w:val="ColumnsHeading"/>
            </w:pPr>
          </w:p>
        </w:tc>
        <w:tc>
          <w:tcPr>
            <w:tcW w:w="576" w:type="pct"/>
            <w:vMerge/>
            <w:shd w:val="clear" w:color="auto" w:fill="D9D9D9" w:themeFill="background1" w:themeFillShade="D9"/>
          </w:tcPr>
          <w:p w14:paraId="14ED8308" w14:textId="77777777" w:rsidR="000C30A6" w:rsidRPr="00D51AAA" w:rsidRDefault="000C30A6" w:rsidP="00B85C20">
            <w:pPr>
              <w:pStyle w:val="ColumnsHeading"/>
            </w:pPr>
          </w:p>
        </w:tc>
        <w:tc>
          <w:tcPr>
            <w:tcW w:w="300" w:type="pct"/>
            <w:shd w:val="clear" w:color="auto" w:fill="D9D9D9" w:themeFill="background1" w:themeFillShade="D9"/>
            <w:textDirection w:val="btLr"/>
          </w:tcPr>
          <w:p w14:paraId="76C883E6" w14:textId="77777777" w:rsidR="000C30A6" w:rsidRPr="00D51AAA" w:rsidRDefault="000C30A6" w:rsidP="00B85C20">
            <w:pPr>
              <w:pStyle w:val="ColumnsHeading"/>
              <w:ind w:left="113" w:right="113"/>
            </w:pPr>
            <w:r w:rsidRPr="00D51AAA">
              <w:t>Research and Development</w:t>
            </w:r>
          </w:p>
        </w:tc>
        <w:tc>
          <w:tcPr>
            <w:tcW w:w="295" w:type="pct"/>
            <w:shd w:val="clear" w:color="auto" w:fill="D9D9D9" w:themeFill="background1" w:themeFillShade="D9"/>
            <w:textDirection w:val="btLr"/>
          </w:tcPr>
          <w:p w14:paraId="0578FF07" w14:textId="77777777" w:rsidR="000C30A6" w:rsidRPr="00D51AAA" w:rsidRDefault="000C30A6" w:rsidP="00B85C20">
            <w:pPr>
              <w:pStyle w:val="ColumnsHeading"/>
              <w:ind w:left="113" w:right="113"/>
            </w:pPr>
            <w:r w:rsidRPr="00D51AAA">
              <w:t>Holding or Managing intellectual property</w:t>
            </w:r>
          </w:p>
        </w:tc>
        <w:tc>
          <w:tcPr>
            <w:tcW w:w="222" w:type="pct"/>
            <w:shd w:val="clear" w:color="auto" w:fill="D9D9D9" w:themeFill="background1" w:themeFillShade="D9"/>
            <w:textDirection w:val="btLr"/>
          </w:tcPr>
          <w:p w14:paraId="0DDC5563" w14:textId="77777777" w:rsidR="000C30A6" w:rsidRPr="00D51AAA" w:rsidRDefault="000C30A6" w:rsidP="00B85C20">
            <w:pPr>
              <w:pStyle w:val="ColumnsHeading"/>
              <w:ind w:left="113" w:right="113"/>
            </w:pPr>
            <w:r w:rsidRPr="00D51AAA">
              <w:t>Purchasing or Procurement</w:t>
            </w:r>
          </w:p>
        </w:tc>
        <w:tc>
          <w:tcPr>
            <w:tcW w:w="300" w:type="pct"/>
            <w:shd w:val="clear" w:color="auto" w:fill="D9D9D9" w:themeFill="background1" w:themeFillShade="D9"/>
            <w:textDirection w:val="btLr"/>
          </w:tcPr>
          <w:p w14:paraId="58C46006" w14:textId="77777777" w:rsidR="000C30A6" w:rsidRPr="00D51AAA" w:rsidRDefault="000C30A6" w:rsidP="00B85C20">
            <w:pPr>
              <w:pStyle w:val="ColumnsHeading"/>
              <w:ind w:left="113" w:right="113"/>
            </w:pPr>
            <w:r w:rsidRPr="00D51AAA">
              <w:t>Manufacturing or Production</w:t>
            </w:r>
          </w:p>
        </w:tc>
        <w:tc>
          <w:tcPr>
            <w:tcW w:w="295" w:type="pct"/>
            <w:shd w:val="clear" w:color="auto" w:fill="D9D9D9" w:themeFill="background1" w:themeFillShade="D9"/>
            <w:textDirection w:val="btLr"/>
          </w:tcPr>
          <w:p w14:paraId="00A4B4B4" w14:textId="77777777" w:rsidR="000C30A6" w:rsidRPr="00D51AAA" w:rsidRDefault="000C30A6" w:rsidP="00B85C20">
            <w:pPr>
              <w:pStyle w:val="ColumnsHeading"/>
              <w:ind w:left="113" w:right="113"/>
            </w:pPr>
            <w:r w:rsidRPr="00D51AAA">
              <w:t>Sales, Marketing or Distribution</w:t>
            </w:r>
          </w:p>
        </w:tc>
        <w:tc>
          <w:tcPr>
            <w:tcW w:w="286" w:type="pct"/>
            <w:shd w:val="clear" w:color="auto" w:fill="D9D9D9" w:themeFill="background1" w:themeFillShade="D9"/>
            <w:textDirection w:val="btLr"/>
          </w:tcPr>
          <w:p w14:paraId="49B50DCB" w14:textId="77777777" w:rsidR="000C30A6" w:rsidRPr="00D51AAA" w:rsidRDefault="000C30A6" w:rsidP="00B85C20">
            <w:pPr>
              <w:pStyle w:val="ColumnsHeading"/>
              <w:ind w:left="113" w:right="113"/>
            </w:pPr>
            <w:r w:rsidRPr="00D51AAA">
              <w:t>Administrative, Management or Support Services</w:t>
            </w:r>
          </w:p>
        </w:tc>
        <w:tc>
          <w:tcPr>
            <w:tcW w:w="300" w:type="pct"/>
            <w:shd w:val="clear" w:color="auto" w:fill="D9D9D9" w:themeFill="background1" w:themeFillShade="D9"/>
            <w:textDirection w:val="btLr"/>
          </w:tcPr>
          <w:p w14:paraId="41DF0BA0" w14:textId="77777777" w:rsidR="000C30A6" w:rsidRPr="00D51AAA" w:rsidRDefault="000C30A6" w:rsidP="00B85C20">
            <w:pPr>
              <w:pStyle w:val="ColumnsHeading"/>
              <w:ind w:left="113" w:right="113"/>
            </w:pPr>
            <w:r w:rsidRPr="00D51AAA">
              <w:t>Provision of Services to unrelated parties</w:t>
            </w:r>
          </w:p>
        </w:tc>
        <w:tc>
          <w:tcPr>
            <w:tcW w:w="221" w:type="pct"/>
            <w:shd w:val="clear" w:color="auto" w:fill="D9D9D9" w:themeFill="background1" w:themeFillShade="D9"/>
            <w:textDirection w:val="btLr"/>
          </w:tcPr>
          <w:p w14:paraId="24CDC721" w14:textId="77777777" w:rsidR="000C30A6" w:rsidRPr="00D51AAA" w:rsidRDefault="000C30A6" w:rsidP="00B85C20">
            <w:pPr>
              <w:pStyle w:val="ColumnsHeading"/>
              <w:ind w:left="113" w:right="113"/>
            </w:pPr>
            <w:r w:rsidRPr="00D51AAA">
              <w:t>Internal Group Finance</w:t>
            </w:r>
          </w:p>
        </w:tc>
        <w:tc>
          <w:tcPr>
            <w:tcW w:w="295" w:type="pct"/>
            <w:shd w:val="clear" w:color="auto" w:fill="D9D9D9" w:themeFill="background1" w:themeFillShade="D9"/>
            <w:textDirection w:val="btLr"/>
          </w:tcPr>
          <w:p w14:paraId="055CF3D7" w14:textId="77777777" w:rsidR="000C30A6" w:rsidRPr="00D51AAA" w:rsidRDefault="000C30A6" w:rsidP="00B85C20">
            <w:pPr>
              <w:pStyle w:val="ColumnsHeading"/>
              <w:ind w:left="113" w:right="113"/>
            </w:pPr>
            <w:r w:rsidRPr="00D51AAA">
              <w:t>Regulated Financial Services</w:t>
            </w:r>
          </w:p>
        </w:tc>
        <w:tc>
          <w:tcPr>
            <w:tcW w:w="222" w:type="pct"/>
            <w:shd w:val="clear" w:color="auto" w:fill="D9D9D9" w:themeFill="background1" w:themeFillShade="D9"/>
            <w:textDirection w:val="btLr"/>
          </w:tcPr>
          <w:p w14:paraId="5A033115" w14:textId="77777777" w:rsidR="000C30A6" w:rsidRPr="00D51AAA" w:rsidRDefault="000C30A6" w:rsidP="00B85C20">
            <w:pPr>
              <w:pStyle w:val="ColumnsHeading"/>
              <w:ind w:left="113" w:right="113"/>
            </w:pPr>
            <w:r w:rsidRPr="00D51AAA">
              <w:t>Insurance</w:t>
            </w:r>
          </w:p>
        </w:tc>
        <w:tc>
          <w:tcPr>
            <w:tcW w:w="294" w:type="pct"/>
            <w:shd w:val="clear" w:color="auto" w:fill="D9D9D9" w:themeFill="background1" w:themeFillShade="D9"/>
            <w:textDirection w:val="btLr"/>
          </w:tcPr>
          <w:p w14:paraId="477ED263" w14:textId="77777777" w:rsidR="000C30A6" w:rsidRPr="00D51AAA" w:rsidRDefault="000C30A6" w:rsidP="00B85C20">
            <w:pPr>
              <w:pStyle w:val="ColumnsHeading"/>
              <w:ind w:left="113" w:right="113"/>
            </w:pPr>
            <w:r w:rsidRPr="00D51AAA">
              <w:t>Holding shares or other equity instruments</w:t>
            </w:r>
          </w:p>
        </w:tc>
        <w:tc>
          <w:tcPr>
            <w:tcW w:w="147" w:type="pct"/>
            <w:shd w:val="clear" w:color="auto" w:fill="D9D9D9" w:themeFill="background1" w:themeFillShade="D9"/>
            <w:textDirection w:val="btLr"/>
          </w:tcPr>
          <w:p w14:paraId="6759FF0C" w14:textId="77777777" w:rsidR="000C30A6" w:rsidRPr="00D51AAA" w:rsidRDefault="000C30A6" w:rsidP="00B85C20">
            <w:pPr>
              <w:pStyle w:val="ColumnsHeading"/>
              <w:ind w:left="113" w:right="113"/>
            </w:pPr>
            <w:r w:rsidRPr="00D51AAA">
              <w:t>Dormant</w:t>
            </w:r>
          </w:p>
        </w:tc>
        <w:tc>
          <w:tcPr>
            <w:tcW w:w="220" w:type="pct"/>
            <w:shd w:val="clear" w:color="auto" w:fill="D9D9D9" w:themeFill="background1" w:themeFillShade="D9"/>
            <w:textDirection w:val="btLr"/>
          </w:tcPr>
          <w:p w14:paraId="029A5C76" w14:textId="77777777" w:rsidR="000C30A6" w:rsidRPr="00D51AAA" w:rsidRDefault="000C30A6" w:rsidP="00B85C20">
            <w:pPr>
              <w:pStyle w:val="ColumnsHeading"/>
              <w:ind w:left="113" w:right="113"/>
            </w:pPr>
            <w:r w:rsidRPr="00D51AAA">
              <w:t>Other</w:t>
            </w:r>
            <w:r w:rsidRPr="00D51AAA">
              <w:rPr>
                <w:rStyle w:val="a7"/>
              </w:rPr>
              <w:footnoteReference w:id="3"/>
            </w:r>
          </w:p>
        </w:tc>
      </w:tr>
      <w:tr w:rsidR="000C30A6" w:rsidRPr="00D51AAA" w14:paraId="71E340DD" w14:textId="77777777" w:rsidTr="00B85C20">
        <w:tc>
          <w:tcPr>
            <w:tcW w:w="509" w:type="pct"/>
            <w:vMerge w:val="restart"/>
            <w:shd w:val="clear" w:color="auto" w:fill="auto"/>
          </w:tcPr>
          <w:p w14:paraId="19BFFAD2" w14:textId="77777777" w:rsidR="000C30A6" w:rsidRPr="00D51AAA" w:rsidRDefault="000C30A6" w:rsidP="00B85C20">
            <w:pPr>
              <w:pStyle w:val="RowsHeading"/>
            </w:pPr>
          </w:p>
        </w:tc>
        <w:tc>
          <w:tcPr>
            <w:tcW w:w="518" w:type="pct"/>
            <w:shd w:val="clear" w:color="auto" w:fill="auto"/>
          </w:tcPr>
          <w:p w14:paraId="75061CC8" w14:textId="77777777" w:rsidR="000C30A6" w:rsidRPr="00D51AAA" w:rsidRDefault="000C30A6" w:rsidP="00B85C20">
            <w:pPr>
              <w:pStyle w:val="Cell"/>
              <w:spacing w:before="60" w:after="60"/>
            </w:pPr>
            <w:r w:rsidRPr="00D51AAA">
              <w:t xml:space="preserve">1. </w:t>
            </w:r>
          </w:p>
        </w:tc>
        <w:tc>
          <w:tcPr>
            <w:tcW w:w="576" w:type="pct"/>
            <w:shd w:val="clear" w:color="auto" w:fill="auto"/>
          </w:tcPr>
          <w:p w14:paraId="068B2456" w14:textId="77777777" w:rsidR="000C30A6" w:rsidRPr="00D51AAA" w:rsidRDefault="000C30A6" w:rsidP="00B85C20">
            <w:pPr>
              <w:pStyle w:val="Cell"/>
            </w:pPr>
          </w:p>
        </w:tc>
        <w:tc>
          <w:tcPr>
            <w:tcW w:w="300" w:type="pct"/>
            <w:shd w:val="clear" w:color="auto" w:fill="auto"/>
          </w:tcPr>
          <w:p w14:paraId="22FDBE80" w14:textId="77777777" w:rsidR="000C30A6" w:rsidRPr="00D51AAA" w:rsidRDefault="000C30A6" w:rsidP="00B85C20">
            <w:pPr>
              <w:pStyle w:val="Cell"/>
            </w:pPr>
          </w:p>
        </w:tc>
        <w:tc>
          <w:tcPr>
            <w:tcW w:w="295" w:type="pct"/>
            <w:shd w:val="clear" w:color="auto" w:fill="auto"/>
          </w:tcPr>
          <w:p w14:paraId="7B82045F" w14:textId="77777777" w:rsidR="000C30A6" w:rsidRPr="00D51AAA" w:rsidRDefault="000C30A6" w:rsidP="00B85C20">
            <w:pPr>
              <w:pStyle w:val="Cell"/>
            </w:pPr>
          </w:p>
        </w:tc>
        <w:tc>
          <w:tcPr>
            <w:tcW w:w="222" w:type="pct"/>
            <w:shd w:val="clear" w:color="auto" w:fill="auto"/>
          </w:tcPr>
          <w:p w14:paraId="45EEA27A" w14:textId="77777777" w:rsidR="000C30A6" w:rsidRPr="00D51AAA" w:rsidRDefault="000C30A6" w:rsidP="00B85C20">
            <w:pPr>
              <w:pStyle w:val="Cell"/>
            </w:pPr>
          </w:p>
        </w:tc>
        <w:tc>
          <w:tcPr>
            <w:tcW w:w="300" w:type="pct"/>
            <w:shd w:val="clear" w:color="auto" w:fill="auto"/>
          </w:tcPr>
          <w:p w14:paraId="6EDC06CC" w14:textId="77777777" w:rsidR="000C30A6" w:rsidRPr="00D51AAA" w:rsidRDefault="000C30A6" w:rsidP="00B85C20">
            <w:pPr>
              <w:pStyle w:val="Cell"/>
            </w:pPr>
          </w:p>
        </w:tc>
        <w:tc>
          <w:tcPr>
            <w:tcW w:w="295" w:type="pct"/>
            <w:shd w:val="clear" w:color="auto" w:fill="auto"/>
          </w:tcPr>
          <w:p w14:paraId="09FDB035" w14:textId="77777777" w:rsidR="000C30A6" w:rsidRPr="00D51AAA" w:rsidRDefault="000C30A6" w:rsidP="00B85C20">
            <w:pPr>
              <w:pStyle w:val="Cell"/>
            </w:pPr>
          </w:p>
        </w:tc>
        <w:tc>
          <w:tcPr>
            <w:tcW w:w="286" w:type="pct"/>
            <w:shd w:val="clear" w:color="auto" w:fill="auto"/>
          </w:tcPr>
          <w:p w14:paraId="645D8A8A" w14:textId="77777777" w:rsidR="000C30A6" w:rsidRPr="00D51AAA" w:rsidRDefault="000C30A6" w:rsidP="00B85C20">
            <w:pPr>
              <w:pStyle w:val="Cell"/>
            </w:pPr>
          </w:p>
        </w:tc>
        <w:tc>
          <w:tcPr>
            <w:tcW w:w="300" w:type="pct"/>
            <w:shd w:val="clear" w:color="auto" w:fill="auto"/>
          </w:tcPr>
          <w:p w14:paraId="7398AD31" w14:textId="77777777" w:rsidR="000C30A6" w:rsidRPr="00D51AAA" w:rsidRDefault="000C30A6" w:rsidP="00B85C20">
            <w:pPr>
              <w:pStyle w:val="Cell"/>
            </w:pPr>
          </w:p>
        </w:tc>
        <w:tc>
          <w:tcPr>
            <w:tcW w:w="221" w:type="pct"/>
            <w:shd w:val="clear" w:color="auto" w:fill="auto"/>
          </w:tcPr>
          <w:p w14:paraId="43392191" w14:textId="77777777" w:rsidR="000C30A6" w:rsidRPr="00D51AAA" w:rsidRDefault="000C30A6" w:rsidP="00B85C20">
            <w:pPr>
              <w:pStyle w:val="Cell"/>
            </w:pPr>
          </w:p>
        </w:tc>
        <w:tc>
          <w:tcPr>
            <w:tcW w:w="295" w:type="pct"/>
            <w:shd w:val="clear" w:color="auto" w:fill="auto"/>
          </w:tcPr>
          <w:p w14:paraId="01C99FC1" w14:textId="77777777" w:rsidR="000C30A6" w:rsidRPr="00D51AAA" w:rsidRDefault="000C30A6" w:rsidP="00B85C20">
            <w:pPr>
              <w:pStyle w:val="Cell"/>
            </w:pPr>
          </w:p>
        </w:tc>
        <w:tc>
          <w:tcPr>
            <w:tcW w:w="222" w:type="pct"/>
            <w:shd w:val="clear" w:color="auto" w:fill="auto"/>
          </w:tcPr>
          <w:p w14:paraId="2F026E0E" w14:textId="77777777" w:rsidR="000C30A6" w:rsidRPr="00D51AAA" w:rsidRDefault="000C30A6" w:rsidP="00B85C20">
            <w:pPr>
              <w:pStyle w:val="Cell"/>
            </w:pPr>
          </w:p>
        </w:tc>
        <w:tc>
          <w:tcPr>
            <w:tcW w:w="294" w:type="pct"/>
            <w:shd w:val="clear" w:color="auto" w:fill="auto"/>
          </w:tcPr>
          <w:p w14:paraId="0B44D8BF" w14:textId="77777777" w:rsidR="000C30A6" w:rsidRPr="00D51AAA" w:rsidRDefault="000C30A6" w:rsidP="00B85C20">
            <w:pPr>
              <w:pStyle w:val="Cell"/>
            </w:pPr>
          </w:p>
        </w:tc>
        <w:tc>
          <w:tcPr>
            <w:tcW w:w="147" w:type="pct"/>
            <w:shd w:val="clear" w:color="auto" w:fill="auto"/>
          </w:tcPr>
          <w:p w14:paraId="6B3BD0B4" w14:textId="77777777" w:rsidR="000C30A6" w:rsidRPr="00D51AAA" w:rsidRDefault="000C30A6" w:rsidP="00B85C20">
            <w:pPr>
              <w:pStyle w:val="Cell"/>
            </w:pPr>
          </w:p>
        </w:tc>
        <w:tc>
          <w:tcPr>
            <w:tcW w:w="220" w:type="pct"/>
            <w:shd w:val="clear" w:color="auto" w:fill="auto"/>
          </w:tcPr>
          <w:p w14:paraId="70C287DE" w14:textId="77777777" w:rsidR="000C30A6" w:rsidRPr="00D51AAA" w:rsidRDefault="000C30A6" w:rsidP="00B85C20">
            <w:pPr>
              <w:pStyle w:val="Cell"/>
            </w:pPr>
          </w:p>
        </w:tc>
      </w:tr>
      <w:tr w:rsidR="000C30A6" w:rsidRPr="00D51AAA" w14:paraId="713526AC" w14:textId="77777777" w:rsidTr="00B85C20">
        <w:tc>
          <w:tcPr>
            <w:tcW w:w="509" w:type="pct"/>
            <w:vMerge/>
            <w:shd w:val="clear" w:color="auto" w:fill="auto"/>
          </w:tcPr>
          <w:p w14:paraId="363C49CF" w14:textId="77777777" w:rsidR="000C30A6" w:rsidRPr="00D51AAA" w:rsidRDefault="000C30A6" w:rsidP="00B85C20">
            <w:pPr>
              <w:pStyle w:val="RowsHeading"/>
            </w:pPr>
          </w:p>
        </w:tc>
        <w:tc>
          <w:tcPr>
            <w:tcW w:w="518" w:type="pct"/>
            <w:shd w:val="clear" w:color="auto" w:fill="auto"/>
          </w:tcPr>
          <w:p w14:paraId="41E856DA" w14:textId="77777777" w:rsidR="000C30A6" w:rsidRPr="00D51AAA" w:rsidRDefault="000C30A6" w:rsidP="00B85C20">
            <w:pPr>
              <w:pStyle w:val="Cell"/>
              <w:spacing w:before="60" w:after="60"/>
            </w:pPr>
            <w:r w:rsidRPr="00D51AAA">
              <w:t xml:space="preserve">2. </w:t>
            </w:r>
          </w:p>
        </w:tc>
        <w:tc>
          <w:tcPr>
            <w:tcW w:w="576" w:type="pct"/>
            <w:shd w:val="clear" w:color="auto" w:fill="auto"/>
          </w:tcPr>
          <w:p w14:paraId="0958BC12" w14:textId="77777777" w:rsidR="000C30A6" w:rsidRPr="00D51AAA" w:rsidRDefault="000C30A6" w:rsidP="00B85C20">
            <w:pPr>
              <w:pStyle w:val="Cell"/>
            </w:pPr>
          </w:p>
        </w:tc>
        <w:tc>
          <w:tcPr>
            <w:tcW w:w="300" w:type="pct"/>
            <w:shd w:val="clear" w:color="auto" w:fill="auto"/>
          </w:tcPr>
          <w:p w14:paraId="2C33ADF8" w14:textId="77777777" w:rsidR="000C30A6" w:rsidRPr="00D51AAA" w:rsidRDefault="000C30A6" w:rsidP="00B85C20">
            <w:pPr>
              <w:pStyle w:val="Cell"/>
            </w:pPr>
          </w:p>
        </w:tc>
        <w:tc>
          <w:tcPr>
            <w:tcW w:w="295" w:type="pct"/>
            <w:shd w:val="clear" w:color="auto" w:fill="auto"/>
          </w:tcPr>
          <w:p w14:paraId="55A5DC1C" w14:textId="77777777" w:rsidR="000C30A6" w:rsidRPr="00D51AAA" w:rsidRDefault="000C30A6" w:rsidP="00B85C20">
            <w:pPr>
              <w:pStyle w:val="Cell"/>
            </w:pPr>
          </w:p>
        </w:tc>
        <w:tc>
          <w:tcPr>
            <w:tcW w:w="222" w:type="pct"/>
            <w:shd w:val="clear" w:color="auto" w:fill="auto"/>
          </w:tcPr>
          <w:p w14:paraId="56F9EFEB" w14:textId="77777777" w:rsidR="000C30A6" w:rsidRPr="00D51AAA" w:rsidRDefault="000C30A6" w:rsidP="00B85C20">
            <w:pPr>
              <w:pStyle w:val="Cell"/>
            </w:pPr>
          </w:p>
        </w:tc>
        <w:tc>
          <w:tcPr>
            <w:tcW w:w="300" w:type="pct"/>
            <w:shd w:val="clear" w:color="auto" w:fill="auto"/>
          </w:tcPr>
          <w:p w14:paraId="4D75EABA" w14:textId="77777777" w:rsidR="000C30A6" w:rsidRPr="00D51AAA" w:rsidRDefault="000C30A6" w:rsidP="00B85C20">
            <w:pPr>
              <w:pStyle w:val="Cell"/>
            </w:pPr>
          </w:p>
        </w:tc>
        <w:tc>
          <w:tcPr>
            <w:tcW w:w="295" w:type="pct"/>
            <w:shd w:val="clear" w:color="auto" w:fill="auto"/>
          </w:tcPr>
          <w:p w14:paraId="3FBAD20A" w14:textId="77777777" w:rsidR="000C30A6" w:rsidRPr="00D51AAA" w:rsidRDefault="000C30A6" w:rsidP="00B85C20">
            <w:pPr>
              <w:pStyle w:val="Cell"/>
            </w:pPr>
          </w:p>
        </w:tc>
        <w:tc>
          <w:tcPr>
            <w:tcW w:w="286" w:type="pct"/>
            <w:shd w:val="clear" w:color="auto" w:fill="auto"/>
          </w:tcPr>
          <w:p w14:paraId="7D1895C2" w14:textId="77777777" w:rsidR="000C30A6" w:rsidRPr="00D51AAA" w:rsidRDefault="000C30A6" w:rsidP="00B85C20">
            <w:pPr>
              <w:pStyle w:val="Cell"/>
            </w:pPr>
          </w:p>
        </w:tc>
        <w:tc>
          <w:tcPr>
            <w:tcW w:w="300" w:type="pct"/>
            <w:shd w:val="clear" w:color="auto" w:fill="auto"/>
          </w:tcPr>
          <w:p w14:paraId="3336224C" w14:textId="77777777" w:rsidR="000C30A6" w:rsidRPr="00D51AAA" w:rsidRDefault="000C30A6" w:rsidP="00B85C20">
            <w:pPr>
              <w:pStyle w:val="Cell"/>
            </w:pPr>
          </w:p>
        </w:tc>
        <w:tc>
          <w:tcPr>
            <w:tcW w:w="221" w:type="pct"/>
            <w:shd w:val="clear" w:color="auto" w:fill="auto"/>
          </w:tcPr>
          <w:p w14:paraId="3ECE89F6" w14:textId="77777777" w:rsidR="000C30A6" w:rsidRPr="00D51AAA" w:rsidRDefault="000C30A6" w:rsidP="00B85C20">
            <w:pPr>
              <w:pStyle w:val="Cell"/>
            </w:pPr>
          </w:p>
        </w:tc>
        <w:tc>
          <w:tcPr>
            <w:tcW w:w="295" w:type="pct"/>
            <w:shd w:val="clear" w:color="auto" w:fill="auto"/>
          </w:tcPr>
          <w:p w14:paraId="148F7FBB" w14:textId="77777777" w:rsidR="000C30A6" w:rsidRPr="00D51AAA" w:rsidRDefault="000C30A6" w:rsidP="00B85C20">
            <w:pPr>
              <w:pStyle w:val="Cell"/>
            </w:pPr>
          </w:p>
        </w:tc>
        <w:tc>
          <w:tcPr>
            <w:tcW w:w="222" w:type="pct"/>
            <w:shd w:val="clear" w:color="auto" w:fill="auto"/>
          </w:tcPr>
          <w:p w14:paraId="6023E8D9" w14:textId="77777777" w:rsidR="000C30A6" w:rsidRPr="00D51AAA" w:rsidRDefault="000C30A6" w:rsidP="00B85C20">
            <w:pPr>
              <w:pStyle w:val="Cell"/>
            </w:pPr>
          </w:p>
        </w:tc>
        <w:tc>
          <w:tcPr>
            <w:tcW w:w="294" w:type="pct"/>
            <w:shd w:val="clear" w:color="auto" w:fill="auto"/>
          </w:tcPr>
          <w:p w14:paraId="5CA8A459" w14:textId="77777777" w:rsidR="000C30A6" w:rsidRPr="00D51AAA" w:rsidRDefault="000C30A6" w:rsidP="00B85C20">
            <w:pPr>
              <w:pStyle w:val="Cell"/>
            </w:pPr>
          </w:p>
        </w:tc>
        <w:tc>
          <w:tcPr>
            <w:tcW w:w="147" w:type="pct"/>
            <w:shd w:val="clear" w:color="auto" w:fill="auto"/>
          </w:tcPr>
          <w:p w14:paraId="4CB5CA2A" w14:textId="77777777" w:rsidR="000C30A6" w:rsidRPr="00D51AAA" w:rsidRDefault="000C30A6" w:rsidP="00B85C20">
            <w:pPr>
              <w:pStyle w:val="Cell"/>
            </w:pPr>
          </w:p>
        </w:tc>
        <w:tc>
          <w:tcPr>
            <w:tcW w:w="220" w:type="pct"/>
            <w:shd w:val="clear" w:color="auto" w:fill="auto"/>
          </w:tcPr>
          <w:p w14:paraId="7519934F" w14:textId="77777777" w:rsidR="000C30A6" w:rsidRPr="00D51AAA" w:rsidRDefault="000C30A6" w:rsidP="00B85C20">
            <w:pPr>
              <w:pStyle w:val="Cell"/>
            </w:pPr>
          </w:p>
        </w:tc>
      </w:tr>
      <w:tr w:rsidR="000C30A6" w:rsidRPr="00D51AAA" w14:paraId="64B7CCAF" w14:textId="77777777" w:rsidTr="00B85C20">
        <w:tc>
          <w:tcPr>
            <w:tcW w:w="509" w:type="pct"/>
            <w:vMerge/>
            <w:shd w:val="clear" w:color="auto" w:fill="auto"/>
          </w:tcPr>
          <w:p w14:paraId="1F1980C2" w14:textId="77777777" w:rsidR="000C30A6" w:rsidRPr="00D51AAA" w:rsidRDefault="000C30A6" w:rsidP="00B85C20">
            <w:pPr>
              <w:pStyle w:val="RowsHeading"/>
            </w:pPr>
          </w:p>
        </w:tc>
        <w:tc>
          <w:tcPr>
            <w:tcW w:w="518" w:type="pct"/>
            <w:shd w:val="clear" w:color="auto" w:fill="auto"/>
          </w:tcPr>
          <w:p w14:paraId="306D5816" w14:textId="77777777" w:rsidR="000C30A6" w:rsidRPr="00D51AAA" w:rsidRDefault="000C30A6" w:rsidP="00B85C20">
            <w:pPr>
              <w:pStyle w:val="Cell"/>
              <w:spacing w:before="60" w:after="60"/>
            </w:pPr>
            <w:r w:rsidRPr="00D51AAA">
              <w:t xml:space="preserve">3. </w:t>
            </w:r>
          </w:p>
        </w:tc>
        <w:tc>
          <w:tcPr>
            <w:tcW w:w="576" w:type="pct"/>
            <w:shd w:val="clear" w:color="auto" w:fill="auto"/>
          </w:tcPr>
          <w:p w14:paraId="6DD91403" w14:textId="77777777" w:rsidR="000C30A6" w:rsidRPr="00D51AAA" w:rsidRDefault="000C30A6" w:rsidP="00B85C20">
            <w:pPr>
              <w:pStyle w:val="Cell"/>
            </w:pPr>
          </w:p>
        </w:tc>
        <w:tc>
          <w:tcPr>
            <w:tcW w:w="300" w:type="pct"/>
            <w:shd w:val="clear" w:color="auto" w:fill="auto"/>
          </w:tcPr>
          <w:p w14:paraId="3BE1B6FE" w14:textId="77777777" w:rsidR="000C30A6" w:rsidRPr="00D51AAA" w:rsidRDefault="000C30A6" w:rsidP="00B85C20">
            <w:pPr>
              <w:pStyle w:val="Cell"/>
            </w:pPr>
          </w:p>
        </w:tc>
        <w:tc>
          <w:tcPr>
            <w:tcW w:w="295" w:type="pct"/>
            <w:shd w:val="clear" w:color="auto" w:fill="auto"/>
          </w:tcPr>
          <w:p w14:paraId="5D360A82" w14:textId="77777777" w:rsidR="000C30A6" w:rsidRPr="00D51AAA" w:rsidRDefault="000C30A6" w:rsidP="00B85C20">
            <w:pPr>
              <w:pStyle w:val="Cell"/>
            </w:pPr>
          </w:p>
        </w:tc>
        <w:tc>
          <w:tcPr>
            <w:tcW w:w="222" w:type="pct"/>
            <w:shd w:val="clear" w:color="auto" w:fill="auto"/>
          </w:tcPr>
          <w:p w14:paraId="7D3E0E11" w14:textId="77777777" w:rsidR="000C30A6" w:rsidRPr="00D51AAA" w:rsidRDefault="000C30A6" w:rsidP="00B85C20">
            <w:pPr>
              <w:pStyle w:val="Cell"/>
            </w:pPr>
          </w:p>
        </w:tc>
        <w:tc>
          <w:tcPr>
            <w:tcW w:w="300" w:type="pct"/>
            <w:shd w:val="clear" w:color="auto" w:fill="auto"/>
          </w:tcPr>
          <w:p w14:paraId="50AE9125" w14:textId="77777777" w:rsidR="000C30A6" w:rsidRPr="00D51AAA" w:rsidRDefault="000C30A6" w:rsidP="00B85C20">
            <w:pPr>
              <w:pStyle w:val="Cell"/>
            </w:pPr>
          </w:p>
        </w:tc>
        <w:tc>
          <w:tcPr>
            <w:tcW w:w="295" w:type="pct"/>
            <w:shd w:val="clear" w:color="auto" w:fill="auto"/>
          </w:tcPr>
          <w:p w14:paraId="540312BB" w14:textId="77777777" w:rsidR="000C30A6" w:rsidRPr="00D51AAA" w:rsidRDefault="000C30A6" w:rsidP="00B85C20">
            <w:pPr>
              <w:pStyle w:val="Cell"/>
            </w:pPr>
          </w:p>
        </w:tc>
        <w:tc>
          <w:tcPr>
            <w:tcW w:w="286" w:type="pct"/>
            <w:shd w:val="clear" w:color="auto" w:fill="auto"/>
          </w:tcPr>
          <w:p w14:paraId="14F2650E" w14:textId="77777777" w:rsidR="000C30A6" w:rsidRPr="00B85C20" w:rsidRDefault="000C30A6" w:rsidP="00B85C20">
            <w:pPr>
              <w:pStyle w:val="Cell"/>
              <w:rPr>
                <w:lang w:val="en-US"/>
              </w:rPr>
            </w:pPr>
          </w:p>
        </w:tc>
        <w:tc>
          <w:tcPr>
            <w:tcW w:w="300" w:type="pct"/>
            <w:shd w:val="clear" w:color="auto" w:fill="auto"/>
          </w:tcPr>
          <w:p w14:paraId="321B8AC0" w14:textId="77777777" w:rsidR="000C30A6" w:rsidRPr="00D51AAA" w:rsidRDefault="000C30A6" w:rsidP="00B85C20">
            <w:pPr>
              <w:pStyle w:val="Cell"/>
            </w:pPr>
          </w:p>
        </w:tc>
        <w:tc>
          <w:tcPr>
            <w:tcW w:w="221" w:type="pct"/>
            <w:shd w:val="clear" w:color="auto" w:fill="auto"/>
          </w:tcPr>
          <w:p w14:paraId="65A6B839" w14:textId="77777777" w:rsidR="000C30A6" w:rsidRPr="00D51AAA" w:rsidRDefault="000C30A6" w:rsidP="00B85C20">
            <w:pPr>
              <w:pStyle w:val="Cell"/>
            </w:pPr>
          </w:p>
        </w:tc>
        <w:tc>
          <w:tcPr>
            <w:tcW w:w="295" w:type="pct"/>
            <w:shd w:val="clear" w:color="auto" w:fill="auto"/>
          </w:tcPr>
          <w:p w14:paraId="47F63FB1" w14:textId="77777777" w:rsidR="000C30A6" w:rsidRPr="00D51AAA" w:rsidRDefault="000C30A6" w:rsidP="00B85C20">
            <w:pPr>
              <w:pStyle w:val="Cell"/>
            </w:pPr>
          </w:p>
        </w:tc>
        <w:tc>
          <w:tcPr>
            <w:tcW w:w="222" w:type="pct"/>
            <w:shd w:val="clear" w:color="auto" w:fill="auto"/>
          </w:tcPr>
          <w:p w14:paraId="4CF65319" w14:textId="77777777" w:rsidR="000C30A6" w:rsidRPr="00D51AAA" w:rsidRDefault="000C30A6" w:rsidP="00B85C20">
            <w:pPr>
              <w:pStyle w:val="Cell"/>
            </w:pPr>
          </w:p>
        </w:tc>
        <w:tc>
          <w:tcPr>
            <w:tcW w:w="294" w:type="pct"/>
            <w:shd w:val="clear" w:color="auto" w:fill="auto"/>
          </w:tcPr>
          <w:p w14:paraId="20DED235" w14:textId="77777777" w:rsidR="000C30A6" w:rsidRPr="00D51AAA" w:rsidRDefault="000C30A6" w:rsidP="00B85C20">
            <w:pPr>
              <w:pStyle w:val="Cell"/>
            </w:pPr>
          </w:p>
        </w:tc>
        <w:tc>
          <w:tcPr>
            <w:tcW w:w="147" w:type="pct"/>
            <w:shd w:val="clear" w:color="auto" w:fill="auto"/>
          </w:tcPr>
          <w:p w14:paraId="1F32F2DA" w14:textId="77777777" w:rsidR="000C30A6" w:rsidRPr="00D51AAA" w:rsidRDefault="000C30A6" w:rsidP="00B85C20">
            <w:pPr>
              <w:pStyle w:val="Cell"/>
            </w:pPr>
          </w:p>
        </w:tc>
        <w:tc>
          <w:tcPr>
            <w:tcW w:w="220" w:type="pct"/>
            <w:shd w:val="clear" w:color="auto" w:fill="auto"/>
          </w:tcPr>
          <w:p w14:paraId="009B667F" w14:textId="77777777" w:rsidR="000C30A6" w:rsidRPr="00D51AAA" w:rsidRDefault="000C30A6" w:rsidP="00B85C20">
            <w:pPr>
              <w:pStyle w:val="Cell"/>
            </w:pPr>
          </w:p>
        </w:tc>
      </w:tr>
      <w:tr w:rsidR="000C30A6" w:rsidRPr="00D51AAA" w14:paraId="51531551" w14:textId="77777777" w:rsidTr="00B85C20">
        <w:tc>
          <w:tcPr>
            <w:tcW w:w="509" w:type="pct"/>
            <w:vMerge w:val="restart"/>
            <w:shd w:val="clear" w:color="auto" w:fill="auto"/>
          </w:tcPr>
          <w:p w14:paraId="7A343867" w14:textId="77777777" w:rsidR="000C30A6" w:rsidRPr="00D51AAA" w:rsidRDefault="000C30A6" w:rsidP="00B85C20">
            <w:pPr>
              <w:pStyle w:val="RowsHeading"/>
            </w:pPr>
          </w:p>
        </w:tc>
        <w:tc>
          <w:tcPr>
            <w:tcW w:w="518" w:type="pct"/>
            <w:shd w:val="clear" w:color="auto" w:fill="auto"/>
          </w:tcPr>
          <w:p w14:paraId="4064C320" w14:textId="77777777" w:rsidR="000C30A6" w:rsidRPr="00D51AAA" w:rsidRDefault="000C30A6" w:rsidP="00B85C20">
            <w:pPr>
              <w:pStyle w:val="Cell"/>
              <w:spacing w:before="60" w:after="60"/>
            </w:pPr>
            <w:r w:rsidRPr="00D51AAA">
              <w:t xml:space="preserve">1. </w:t>
            </w:r>
          </w:p>
        </w:tc>
        <w:tc>
          <w:tcPr>
            <w:tcW w:w="576" w:type="pct"/>
            <w:shd w:val="clear" w:color="auto" w:fill="auto"/>
          </w:tcPr>
          <w:p w14:paraId="749E7844" w14:textId="77777777" w:rsidR="000C30A6" w:rsidRPr="00D51AAA" w:rsidRDefault="000C30A6" w:rsidP="00B85C20">
            <w:pPr>
              <w:pStyle w:val="Cell"/>
            </w:pPr>
          </w:p>
        </w:tc>
        <w:tc>
          <w:tcPr>
            <w:tcW w:w="300" w:type="pct"/>
            <w:shd w:val="clear" w:color="auto" w:fill="auto"/>
          </w:tcPr>
          <w:p w14:paraId="7E78BA24" w14:textId="77777777" w:rsidR="000C30A6" w:rsidRPr="00D51AAA" w:rsidRDefault="000C30A6" w:rsidP="00B85C20">
            <w:pPr>
              <w:pStyle w:val="Cell"/>
            </w:pPr>
          </w:p>
        </w:tc>
        <w:tc>
          <w:tcPr>
            <w:tcW w:w="295" w:type="pct"/>
            <w:shd w:val="clear" w:color="auto" w:fill="auto"/>
          </w:tcPr>
          <w:p w14:paraId="7889F794" w14:textId="77777777" w:rsidR="000C30A6" w:rsidRPr="00D51AAA" w:rsidRDefault="000C30A6" w:rsidP="00B85C20">
            <w:pPr>
              <w:pStyle w:val="Cell"/>
            </w:pPr>
          </w:p>
        </w:tc>
        <w:tc>
          <w:tcPr>
            <w:tcW w:w="222" w:type="pct"/>
            <w:shd w:val="clear" w:color="auto" w:fill="auto"/>
          </w:tcPr>
          <w:p w14:paraId="5FEBD662" w14:textId="77777777" w:rsidR="000C30A6" w:rsidRPr="00D51AAA" w:rsidRDefault="000C30A6" w:rsidP="00B85C20">
            <w:pPr>
              <w:pStyle w:val="Cell"/>
            </w:pPr>
          </w:p>
        </w:tc>
        <w:tc>
          <w:tcPr>
            <w:tcW w:w="300" w:type="pct"/>
            <w:shd w:val="clear" w:color="auto" w:fill="auto"/>
          </w:tcPr>
          <w:p w14:paraId="758C63E9" w14:textId="77777777" w:rsidR="000C30A6" w:rsidRPr="00D51AAA" w:rsidRDefault="000C30A6" w:rsidP="00B85C20">
            <w:pPr>
              <w:pStyle w:val="Cell"/>
            </w:pPr>
          </w:p>
        </w:tc>
        <w:tc>
          <w:tcPr>
            <w:tcW w:w="295" w:type="pct"/>
            <w:shd w:val="clear" w:color="auto" w:fill="auto"/>
          </w:tcPr>
          <w:p w14:paraId="25E1DA95" w14:textId="77777777" w:rsidR="000C30A6" w:rsidRPr="00D51AAA" w:rsidRDefault="000C30A6" w:rsidP="00B85C20">
            <w:pPr>
              <w:pStyle w:val="Cell"/>
            </w:pPr>
          </w:p>
        </w:tc>
        <w:tc>
          <w:tcPr>
            <w:tcW w:w="286" w:type="pct"/>
            <w:shd w:val="clear" w:color="auto" w:fill="auto"/>
          </w:tcPr>
          <w:p w14:paraId="648B4032" w14:textId="77777777" w:rsidR="000C30A6" w:rsidRPr="00D51AAA" w:rsidRDefault="000C30A6" w:rsidP="00B85C20">
            <w:pPr>
              <w:pStyle w:val="Cell"/>
            </w:pPr>
          </w:p>
        </w:tc>
        <w:tc>
          <w:tcPr>
            <w:tcW w:w="300" w:type="pct"/>
            <w:shd w:val="clear" w:color="auto" w:fill="auto"/>
          </w:tcPr>
          <w:p w14:paraId="4D2AB599" w14:textId="77777777" w:rsidR="000C30A6" w:rsidRPr="00D51AAA" w:rsidRDefault="000C30A6" w:rsidP="00B85C20">
            <w:pPr>
              <w:pStyle w:val="Cell"/>
            </w:pPr>
          </w:p>
        </w:tc>
        <w:tc>
          <w:tcPr>
            <w:tcW w:w="221" w:type="pct"/>
            <w:shd w:val="clear" w:color="auto" w:fill="auto"/>
          </w:tcPr>
          <w:p w14:paraId="7A859CF3" w14:textId="77777777" w:rsidR="000C30A6" w:rsidRPr="00D51AAA" w:rsidRDefault="000C30A6" w:rsidP="00B85C20">
            <w:pPr>
              <w:pStyle w:val="Cell"/>
            </w:pPr>
          </w:p>
        </w:tc>
        <w:tc>
          <w:tcPr>
            <w:tcW w:w="295" w:type="pct"/>
            <w:shd w:val="clear" w:color="auto" w:fill="auto"/>
          </w:tcPr>
          <w:p w14:paraId="72E30578" w14:textId="77777777" w:rsidR="000C30A6" w:rsidRPr="00D51AAA" w:rsidRDefault="000C30A6" w:rsidP="00B85C20">
            <w:pPr>
              <w:pStyle w:val="Cell"/>
            </w:pPr>
          </w:p>
        </w:tc>
        <w:tc>
          <w:tcPr>
            <w:tcW w:w="222" w:type="pct"/>
            <w:shd w:val="clear" w:color="auto" w:fill="auto"/>
          </w:tcPr>
          <w:p w14:paraId="0A55BBB7" w14:textId="77777777" w:rsidR="000C30A6" w:rsidRPr="00D51AAA" w:rsidRDefault="000C30A6" w:rsidP="00B85C20">
            <w:pPr>
              <w:pStyle w:val="Cell"/>
            </w:pPr>
          </w:p>
        </w:tc>
        <w:tc>
          <w:tcPr>
            <w:tcW w:w="294" w:type="pct"/>
            <w:shd w:val="clear" w:color="auto" w:fill="auto"/>
          </w:tcPr>
          <w:p w14:paraId="160F1D58" w14:textId="77777777" w:rsidR="000C30A6" w:rsidRPr="00D51AAA" w:rsidRDefault="000C30A6" w:rsidP="00B85C20">
            <w:pPr>
              <w:pStyle w:val="Cell"/>
            </w:pPr>
          </w:p>
        </w:tc>
        <w:tc>
          <w:tcPr>
            <w:tcW w:w="147" w:type="pct"/>
            <w:shd w:val="clear" w:color="auto" w:fill="auto"/>
          </w:tcPr>
          <w:p w14:paraId="5CE585D8" w14:textId="77777777" w:rsidR="000C30A6" w:rsidRPr="00D51AAA" w:rsidRDefault="000C30A6" w:rsidP="00B85C20">
            <w:pPr>
              <w:pStyle w:val="Cell"/>
            </w:pPr>
          </w:p>
        </w:tc>
        <w:tc>
          <w:tcPr>
            <w:tcW w:w="220" w:type="pct"/>
            <w:shd w:val="clear" w:color="auto" w:fill="auto"/>
          </w:tcPr>
          <w:p w14:paraId="6C4C973E" w14:textId="77777777" w:rsidR="000C30A6" w:rsidRPr="00D51AAA" w:rsidRDefault="000C30A6" w:rsidP="00B85C20">
            <w:pPr>
              <w:pStyle w:val="Cell"/>
            </w:pPr>
          </w:p>
        </w:tc>
      </w:tr>
      <w:tr w:rsidR="000C30A6" w:rsidRPr="00D51AAA" w14:paraId="11EAD828" w14:textId="77777777" w:rsidTr="00B85C20">
        <w:tc>
          <w:tcPr>
            <w:tcW w:w="509" w:type="pct"/>
            <w:vMerge/>
            <w:shd w:val="clear" w:color="auto" w:fill="auto"/>
          </w:tcPr>
          <w:p w14:paraId="7B659E90" w14:textId="77777777" w:rsidR="000C30A6" w:rsidRPr="00D51AAA" w:rsidRDefault="000C30A6" w:rsidP="00B85C20">
            <w:pPr>
              <w:pStyle w:val="RowsHeading"/>
            </w:pPr>
          </w:p>
        </w:tc>
        <w:tc>
          <w:tcPr>
            <w:tcW w:w="518" w:type="pct"/>
            <w:shd w:val="clear" w:color="auto" w:fill="auto"/>
          </w:tcPr>
          <w:p w14:paraId="0480E7DD" w14:textId="77777777" w:rsidR="000C30A6" w:rsidRPr="00D51AAA" w:rsidRDefault="000C30A6" w:rsidP="00B85C20">
            <w:pPr>
              <w:pStyle w:val="Cell"/>
              <w:spacing w:before="60" w:after="60"/>
            </w:pPr>
            <w:r w:rsidRPr="00D51AAA">
              <w:t xml:space="preserve">2. </w:t>
            </w:r>
          </w:p>
        </w:tc>
        <w:tc>
          <w:tcPr>
            <w:tcW w:w="576" w:type="pct"/>
            <w:shd w:val="clear" w:color="auto" w:fill="auto"/>
          </w:tcPr>
          <w:p w14:paraId="604BABFA" w14:textId="77777777" w:rsidR="000C30A6" w:rsidRPr="00D51AAA" w:rsidRDefault="000C30A6" w:rsidP="00B85C20">
            <w:pPr>
              <w:pStyle w:val="Cell"/>
            </w:pPr>
          </w:p>
        </w:tc>
        <w:tc>
          <w:tcPr>
            <w:tcW w:w="300" w:type="pct"/>
            <w:shd w:val="clear" w:color="auto" w:fill="auto"/>
          </w:tcPr>
          <w:p w14:paraId="5211737B" w14:textId="77777777" w:rsidR="000C30A6" w:rsidRPr="00D51AAA" w:rsidRDefault="000C30A6" w:rsidP="00B85C20">
            <w:pPr>
              <w:pStyle w:val="Cell"/>
            </w:pPr>
          </w:p>
        </w:tc>
        <w:tc>
          <w:tcPr>
            <w:tcW w:w="295" w:type="pct"/>
            <w:shd w:val="clear" w:color="auto" w:fill="auto"/>
          </w:tcPr>
          <w:p w14:paraId="0288117A" w14:textId="77777777" w:rsidR="000C30A6" w:rsidRPr="00D51AAA" w:rsidRDefault="000C30A6" w:rsidP="00B85C20">
            <w:pPr>
              <w:pStyle w:val="Cell"/>
            </w:pPr>
          </w:p>
        </w:tc>
        <w:tc>
          <w:tcPr>
            <w:tcW w:w="222" w:type="pct"/>
            <w:shd w:val="clear" w:color="auto" w:fill="auto"/>
          </w:tcPr>
          <w:p w14:paraId="391315FD" w14:textId="77777777" w:rsidR="000C30A6" w:rsidRPr="00D51AAA" w:rsidRDefault="000C30A6" w:rsidP="00B85C20">
            <w:pPr>
              <w:pStyle w:val="Cell"/>
            </w:pPr>
          </w:p>
        </w:tc>
        <w:tc>
          <w:tcPr>
            <w:tcW w:w="300" w:type="pct"/>
            <w:shd w:val="clear" w:color="auto" w:fill="auto"/>
          </w:tcPr>
          <w:p w14:paraId="2C3F6C3F" w14:textId="77777777" w:rsidR="000C30A6" w:rsidRPr="00D51AAA" w:rsidRDefault="000C30A6" w:rsidP="00B85C20">
            <w:pPr>
              <w:pStyle w:val="Cell"/>
            </w:pPr>
          </w:p>
        </w:tc>
        <w:tc>
          <w:tcPr>
            <w:tcW w:w="295" w:type="pct"/>
            <w:shd w:val="clear" w:color="auto" w:fill="auto"/>
          </w:tcPr>
          <w:p w14:paraId="1828757F" w14:textId="77777777" w:rsidR="000C30A6" w:rsidRPr="00D51AAA" w:rsidRDefault="000C30A6" w:rsidP="00B85C20">
            <w:pPr>
              <w:pStyle w:val="Cell"/>
            </w:pPr>
          </w:p>
        </w:tc>
        <w:tc>
          <w:tcPr>
            <w:tcW w:w="286" w:type="pct"/>
            <w:shd w:val="clear" w:color="auto" w:fill="auto"/>
          </w:tcPr>
          <w:p w14:paraId="63303CFC" w14:textId="77777777" w:rsidR="000C30A6" w:rsidRPr="00D51AAA" w:rsidRDefault="000C30A6" w:rsidP="00B85C20">
            <w:pPr>
              <w:pStyle w:val="Cell"/>
            </w:pPr>
          </w:p>
        </w:tc>
        <w:tc>
          <w:tcPr>
            <w:tcW w:w="300" w:type="pct"/>
            <w:shd w:val="clear" w:color="auto" w:fill="auto"/>
          </w:tcPr>
          <w:p w14:paraId="4CA0840F" w14:textId="77777777" w:rsidR="000C30A6" w:rsidRPr="00D51AAA" w:rsidRDefault="000C30A6" w:rsidP="00B85C20">
            <w:pPr>
              <w:pStyle w:val="Cell"/>
            </w:pPr>
          </w:p>
        </w:tc>
        <w:tc>
          <w:tcPr>
            <w:tcW w:w="221" w:type="pct"/>
            <w:shd w:val="clear" w:color="auto" w:fill="auto"/>
          </w:tcPr>
          <w:p w14:paraId="44F71E99" w14:textId="77777777" w:rsidR="000C30A6" w:rsidRPr="00D51AAA" w:rsidRDefault="000C30A6" w:rsidP="00B85C20">
            <w:pPr>
              <w:pStyle w:val="Cell"/>
            </w:pPr>
          </w:p>
        </w:tc>
        <w:tc>
          <w:tcPr>
            <w:tcW w:w="295" w:type="pct"/>
            <w:shd w:val="clear" w:color="auto" w:fill="auto"/>
          </w:tcPr>
          <w:p w14:paraId="575DA3AE" w14:textId="77777777" w:rsidR="000C30A6" w:rsidRPr="00D51AAA" w:rsidRDefault="000C30A6" w:rsidP="00B85C20">
            <w:pPr>
              <w:pStyle w:val="Cell"/>
            </w:pPr>
          </w:p>
        </w:tc>
        <w:tc>
          <w:tcPr>
            <w:tcW w:w="222" w:type="pct"/>
            <w:shd w:val="clear" w:color="auto" w:fill="auto"/>
          </w:tcPr>
          <w:p w14:paraId="3E5D2AB8" w14:textId="77777777" w:rsidR="000C30A6" w:rsidRPr="00D51AAA" w:rsidRDefault="000C30A6" w:rsidP="00B85C20">
            <w:pPr>
              <w:pStyle w:val="Cell"/>
            </w:pPr>
          </w:p>
        </w:tc>
        <w:tc>
          <w:tcPr>
            <w:tcW w:w="294" w:type="pct"/>
            <w:shd w:val="clear" w:color="auto" w:fill="auto"/>
          </w:tcPr>
          <w:p w14:paraId="173CACE3" w14:textId="77777777" w:rsidR="000C30A6" w:rsidRPr="00D51AAA" w:rsidRDefault="000C30A6" w:rsidP="00B85C20">
            <w:pPr>
              <w:pStyle w:val="Cell"/>
            </w:pPr>
          </w:p>
        </w:tc>
        <w:tc>
          <w:tcPr>
            <w:tcW w:w="147" w:type="pct"/>
            <w:shd w:val="clear" w:color="auto" w:fill="auto"/>
          </w:tcPr>
          <w:p w14:paraId="0DC1445A" w14:textId="77777777" w:rsidR="000C30A6" w:rsidRPr="00D51AAA" w:rsidRDefault="000C30A6" w:rsidP="00B85C20">
            <w:pPr>
              <w:pStyle w:val="Cell"/>
            </w:pPr>
          </w:p>
        </w:tc>
        <w:tc>
          <w:tcPr>
            <w:tcW w:w="220" w:type="pct"/>
            <w:shd w:val="clear" w:color="auto" w:fill="auto"/>
          </w:tcPr>
          <w:p w14:paraId="4A67F9E6" w14:textId="77777777" w:rsidR="000C30A6" w:rsidRPr="00D51AAA" w:rsidRDefault="000C30A6" w:rsidP="00B85C20">
            <w:pPr>
              <w:pStyle w:val="Cell"/>
            </w:pPr>
          </w:p>
        </w:tc>
      </w:tr>
      <w:tr w:rsidR="000C30A6" w:rsidRPr="00D51AAA" w14:paraId="047D43FB" w14:textId="77777777" w:rsidTr="00B85C20">
        <w:tc>
          <w:tcPr>
            <w:tcW w:w="509" w:type="pct"/>
            <w:vMerge/>
            <w:shd w:val="clear" w:color="auto" w:fill="auto"/>
          </w:tcPr>
          <w:p w14:paraId="797323B6" w14:textId="77777777" w:rsidR="000C30A6" w:rsidRPr="00D51AAA" w:rsidRDefault="000C30A6" w:rsidP="00B85C20">
            <w:pPr>
              <w:pStyle w:val="RowsHeading"/>
            </w:pPr>
          </w:p>
        </w:tc>
        <w:tc>
          <w:tcPr>
            <w:tcW w:w="518" w:type="pct"/>
            <w:shd w:val="clear" w:color="auto" w:fill="auto"/>
          </w:tcPr>
          <w:p w14:paraId="512DEB43" w14:textId="77777777" w:rsidR="000C30A6" w:rsidRPr="00D51AAA" w:rsidRDefault="000C30A6" w:rsidP="00B85C20">
            <w:pPr>
              <w:pStyle w:val="Cell"/>
              <w:spacing w:before="60" w:after="60"/>
            </w:pPr>
            <w:r w:rsidRPr="00D51AAA">
              <w:t xml:space="preserve">3. </w:t>
            </w:r>
          </w:p>
        </w:tc>
        <w:tc>
          <w:tcPr>
            <w:tcW w:w="576" w:type="pct"/>
            <w:shd w:val="clear" w:color="auto" w:fill="auto"/>
          </w:tcPr>
          <w:p w14:paraId="69A743C7" w14:textId="77777777" w:rsidR="000C30A6" w:rsidRPr="00D51AAA" w:rsidRDefault="000C30A6" w:rsidP="00B85C20">
            <w:pPr>
              <w:pStyle w:val="Cell"/>
            </w:pPr>
          </w:p>
        </w:tc>
        <w:tc>
          <w:tcPr>
            <w:tcW w:w="300" w:type="pct"/>
            <w:shd w:val="clear" w:color="auto" w:fill="auto"/>
          </w:tcPr>
          <w:p w14:paraId="50E00C59" w14:textId="77777777" w:rsidR="000C30A6" w:rsidRPr="00D51AAA" w:rsidRDefault="000C30A6" w:rsidP="00B85C20">
            <w:pPr>
              <w:pStyle w:val="Cell"/>
            </w:pPr>
          </w:p>
        </w:tc>
        <w:tc>
          <w:tcPr>
            <w:tcW w:w="295" w:type="pct"/>
            <w:shd w:val="clear" w:color="auto" w:fill="auto"/>
          </w:tcPr>
          <w:p w14:paraId="3E46911E" w14:textId="77777777" w:rsidR="000C30A6" w:rsidRPr="00D51AAA" w:rsidRDefault="000C30A6" w:rsidP="00B85C20">
            <w:pPr>
              <w:pStyle w:val="Cell"/>
            </w:pPr>
          </w:p>
        </w:tc>
        <w:tc>
          <w:tcPr>
            <w:tcW w:w="222" w:type="pct"/>
            <w:shd w:val="clear" w:color="auto" w:fill="auto"/>
          </w:tcPr>
          <w:p w14:paraId="3439FD1F" w14:textId="77777777" w:rsidR="000C30A6" w:rsidRPr="00D51AAA" w:rsidRDefault="000C30A6" w:rsidP="00B85C20">
            <w:pPr>
              <w:pStyle w:val="Cell"/>
            </w:pPr>
          </w:p>
        </w:tc>
        <w:tc>
          <w:tcPr>
            <w:tcW w:w="300" w:type="pct"/>
            <w:shd w:val="clear" w:color="auto" w:fill="auto"/>
          </w:tcPr>
          <w:p w14:paraId="2FB06435" w14:textId="77777777" w:rsidR="000C30A6" w:rsidRPr="00D51AAA" w:rsidRDefault="000C30A6" w:rsidP="00B85C20">
            <w:pPr>
              <w:pStyle w:val="Cell"/>
            </w:pPr>
          </w:p>
        </w:tc>
        <w:tc>
          <w:tcPr>
            <w:tcW w:w="295" w:type="pct"/>
            <w:shd w:val="clear" w:color="auto" w:fill="auto"/>
          </w:tcPr>
          <w:p w14:paraId="1D0105D8" w14:textId="77777777" w:rsidR="000C30A6" w:rsidRPr="00D51AAA" w:rsidRDefault="000C30A6" w:rsidP="00B85C20">
            <w:pPr>
              <w:pStyle w:val="Cell"/>
            </w:pPr>
          </w:p>
        </w:tc>
        <w:tc>
          <w:tcPr>
            <w:tcW w:w="286" w:type="pct"/>
            <w:shd w:val="clear" w:color="auto" w:fill="auto"/>
          </w:tcPr>
          <w:p w14:paraId="4B49F8F9" w14:textId="77777777" w:rsidR="000C30A6" w:rsidRPr="00D51AAA" w:rsidRDefault="000C30A6" w:rsidP="00B85C20">
            <w:pPr>
              <w:pStyle w:val="Cell"/>
            </w:pPr>
          </w:p>
        </w:tc>
        <w:tc>
          <w:tcPr>
            <w:tcW w:w="300" w:type="pct"/>
            <w:shd w:val="clear" w:color="auto" w:fill="auto"/>
          </w:tcPr>
          <w:p w14:paraId="6FE14990" w14:textId="77777777" w:rsidR="000C30A6" w:rsidRPr="00D51AAA" w:rsidRDefault="000C30A6" w:rsidP="00B85C20">
            <w:pPr>
              <w:pStyle w:val="Cell"/>
            </w:pPr>
          </w:p>
        </w:tc>
        <w:tc>
          <w:tcPr>
            <w:tcW w:w="221" w:type="pct"/>
            <w:shd w:val="clear" w:color="auto" w:fill="auto"/>
          </w:tcPr>
          <w:p w14:paraId="30D002BD" w14:textId="77777777" w:rsidR="000C30A6" w:rsidRPr="00D51AAA" w:rsidRDefault="000C30A6" w:rsidP="00B85C20">
            <w:pPr>
              <w:pStyle w:val="Cell"/>
            </w:pPr>
          </w:p>
        </w:tc>
        <w:tc>
          <w:tcPr>
            <w:tcW w:w="295" w:type="pct"/>
            <w:shd w:val="clear" w:color="auto" w:fill="auto"/>
          </w:tcPr>
          <w:p w14:paraId="3705D604" w14:textId="77777777" w:rsidR="000C30A6" w:rsidRPr="00D51AAA" w:rsidRDefault="000C30A6" w:rsidP="00B85C20">
            <w:pPr>
              <w:pStyle w:val="Cell"/>
            </w:pPr>
          </w:p>
        </w:tc>
        <w:tc>
          <w:tcPr>
            <w:tcW w:w="222" w:type="pct"/>
            <w:shd w:val="clear" w:color="auto" w:fill="auto"/>
          </w:tcPr>
          <w:p w14:paraId="75F02A9F" w14:textId="77777777" w:rsidR="000C30A6" w:rsidRPr="00D51AAA" w:rsidRDefault="000C30A6" w:rsidP="00B85C20">
            <w:pPr>
              <w:pStyle w:val="Cell"/>
            </w:pPr>
          </w:p>
        </w:tc>
        <w:tc>
          <w:tcPr>
            <w:tcW w:w="294" w:type="pct"/>
            <w:shd w:val="clear" w:color="auto" w:fill="auto"/>
          </w:tcPr>
          <w:p w14:paraId="19A0076E" w14:textId="77777777" w:rsidR="000C30A6" w:rsidRPr="00D51AAA" w:rsidRDefault="000C30A6" w:rsidP="00B85C20">
            <w:pPr>
              <w:pStyle w:val="Cell"/>
            </w:pPr>
          </w:p>
        </w:tc>
        <w:tc>
          <w:tcPr>
            <w:tcW w:w="147" w:type="pct"/>
            <w:shd w:val="clear" w:color="auto" w:fill="auto"/>
          </w:tcPr>
          <w:p w14:paraId="2B49CF91" w14:textId="77777777" w:rsidR="000C30A6" w:rsidRPr="00D51AAA" w:rsidRDefault="000C30A6" w:rsidP="00B85C20">
            <w:pPr>
              <w:pStyle w:val="Cell"/>
            </w:pPr>
          </w:p>
        </w:tc>
        <w:tc>
          <w:tcPr>
            <w:tcW w:w="220" w:type="pct"/>
            <w:shd w:val="clear" w:color="auto" w:fill="auto"/>
          </w:tcPr>
          <w:p w14:paraId="49ACC7E4" w14:textId="77777777" w:rsidR="000C30A6" w:rsidRPr="00D51AAA" w:rsidRDefault="000C30A6" w:rsidP="00B85C20">
            <w:pPr>
              <w:pStyle w:val="Cell"/>
            </w:pPr>
          </w:p>
        </w:tc>
      </w:tr>
    </w:tbl>
    <w:p w14:paraId="54A5B8F8" w14:textId="77777777" w:rsidR="000C30A6" w:rsidRDefault="000C30A6" w:rsidP="000C30A6">
      <w:pPr>
        <w:pStyle w:val="TableTitle"/>
      </w:pPr>
      <w:r>
        <w:br w:type="page"/>
      </w:r>
    </w:p>
    <w:p w14:paraId="74B5D230" w14:textId="77777777" w:rsidR="000C30A6" w:rsidRPr="00D51AAA" w:rsidRDefault="000C30A6" w:rsidP="000C30A6">
      <w:pPr>
        <w:pStyle w:val="TableTitle"/>
      </w:pPr>
      <w:r w:rsidRPr="00D51AAA">
        <w:lastRenderedPageBreak/>
        <w:fldChar w:fldCharType="begin"/>
      </w:r>
      <w:r w:rsidRPr="00D51AAA">
        <w:instrText xml:space="preserve"> MACROBUTTON NUMBERING Table </w:instrText>
      </w:r>
      <w:r w:rsidRPr="00D51AAA">
        <w:fldChar w:fldCharType="begin"/>
      </w:r>
      <w:r w:rsidRPr="00D51AAA">
        <w:instrText xml:space="preserve"> SEQ  table</w:instrText>
      </w:r>
      <w:r w:rsidRPr="00D51AAA">
        <w:fldChar w:fldCharType="separate"/>
      </w:r>
      <w:r>
        <w:rPr>
          <w:noProof/>
        </w:rPr>
        <w:instrText>3</w:instrText>
      </w:r>
      <w:r w:rsidRPr="00D51AAA">
        <w:fldChar w:fldCharType="end"/>
      </w:r>
      <w:r w:rsidRPr="00D51AAA">
        <w:instrText>.</w:instrText>
      </w:r>
      <w:r w:rsidRPr="00D51AAA">
        <w:tab/>
      </w:r>
      <w:bookmarkStart w:id="36" w:name="_Toc392691546"/>
      <w:bookmarkStart w:id="37" w:name="_Toc393187580"/>
      <w:bookmarkStart w:id="38" w:name="_Toc393187734"/>
      <w:r w:rsidRPr="00D51AAA">
        <w:fldChar w:fldCharType="end"/>
      </w:r>
      <w:r w:rsidRPr="00D51AAA">
        <w:t>Additional Information</w:t>
      </w:r>
      <w:bookmarkEnd w:id="36"/>
      <w:bookmarkEnd w:id="37"/>
      <w:bookmarkEnd w:id="38"/>
    </w:p>
    <w:tbl>
      <w:tblPr>
        <w:tblStyle w:val="af0"/>
        <w:tblW w:w="5000" w:type="pct"/>
        <w:tblLook w:val="04A0" w:firstRow="1" w:lastRow="0" w:firstColumn="1" w:lastColumn="0" w:noHBand="0" w:noVBand="1"/>
      </w:tblPr>
      <w:tblGrid>
        <w:gridCol w:w="9628"/>
      </w:tblGrid>
      <w:tr w:rsidR="000C30A6" w:rsidRPr="00D51AAA" w14:paraId="7EC984FB" w14:textId="77777777" w:rsidTr="003055DA">
        <w:tc>
          <w:tcPr>
            <w:tcW w:w="5000" w:type="pct"/>
          </w:tcPr>
          <w:p w14:paraId="7E4D824E" w14:textId="77777777" w:rsidR="000C30A6" w:rsidRPr="00D51AAA" w:rsidRDefault="000C30A6" w:rsidP="003055DA">
            <w:pPr>
              <w:pStyle w:val="ColumnsHeading"/>
              <w:spacing w:before="120"/>
              <w:rPr>
                <w:rFonts w:cs="Times New Roman"/>
                <w:sz w:val="20"/>
              </w:rPr>
            </w:pPr>
            <w:r w:rsidRPr="00D51AAA">
              <w:rPr>
                <w:rFonts w:cs="Times New Roman"/>
                <w:sz w:val="20"/>
              </w:rPr>
              <w:t>Name of the MNE group:</w:t>
            </w:r>
          </w:p>
          <w:p w14:paraId="7E8CE8BD" w14:textId="77777777" w:rsidR="000C30A6" w:rsidRPr="00D51AAA" w:rsidRDefault="000C30A6" w:rsidP="003055DA">
            <w:pPr>
              <w:pStyle w:val="TableTitle"/>
              <w:spacing w:after="120"/>
              <w:rPr>
                <w:rFonts w:ascii="Arial Narrow" w:hAnsi="Arial Narrow" w:cs="Times New Roman"/>
                <w:b w:val="0"/>
                <w:szCs w:val="17"/>
              </w:rPr>
            </w:pPr>
            <w:r w:rsidRPr="00D0669A">
              <w:rPr>
                <w:rFonts w:cs="Times New Roman"/>
                <w:b w:val="0"/>
                <w:bCs w:val="0"/>
                <w:sz w:val="20"/>
                <w:szCs w:val="18"/>
              </w:rPr>
              <w:t>Fiscal year concerned:</w:t>
            </w:r>
          </w:p>
        </w:tc>
      </w:tr>
      <w:tr w:rsidR="000C30A6" w:rsidRPr="00D51AAA" w14:paraId="779905DD" w14:textId="77777777" w:rsidTr="003055DA">
        <w:tc>
          <w:tcPr>
            <w:tcW w:w="5000" w:type="pct"/>
            <w:vAlign w:val="center"/>
          </w:tcPr>
          <w:p w14:paraId="13FF87CC" w14:textId="77777777" w:rsidR="000C30A6" w:rsidRPr="00D51AAA" w:rsidRDefault="000C30A6" w:rsidP="003055DA">
            <w:pPr>
              <w:pStyle w:val="af3"/>
              <w:ind w:firstLine="0"/>
              <w:rPr>
                <w:rFonts w:ascii="Arial Narrow" w:hAnsi="Arial Narrow"/>
                <w:i/>
                <w:sz w:val="20"/>
                <w:szCs w:val="17"/>
              </w:rPr>
            </w:pPr>
            <w:r w:rsidRPr="00D51AAA">
              <w:rPr>
                <w:rFonts w:ascii="Arial Narrow" w:hAnsi="Arial Narrow"/>
                <w:i/>
                <w:sz w:val="20"/>
                <w:szCs w:val="17"/>
              </w:rPr>
              <w:t>Please include any further brief information or explanation you consider necessary or that would facilitate the understanding of the compulsory information provided in the country-by-country report.</w:t>
            </w:r>
          </w:p>
          <w:p w14:paraId="4D096544" w14:textId="77777777" w:rsidR="000C30A6" w:rsidRPr="00D51AAA" w:rsidRDefault="000C30A6" w:rsidP="003055DA">
            <w:pPr>
              <w:pStyle w:val="af3"/>
              <w:ind w:firstLine="0"/>
              <w:rPr>
                <w:rFonts w:ascii="Arial Narrow" w:hAnsi="Arial Narrow"/>
                <w:i/>
                <w:sz w:val="20"/>
                <w:szCs w:val="17"/>
              </w:rPr>
            </w:pPr>
          </w:p>
          <w:p w14:paraId="7C7EB877" w14:textId="77777777" w:rsidR="000C30A6" w:rsidRPr="00D51AAA" w:rsidRDefault="000C30A6" w:rsidP="003055DA">
            <w:pPr>
              <w:pStyle w:val="af3"/>
              <w:ind w:firstLine="0"/>
              <w:rPr>
                <w:rFonts w:ascii="Arial Narrow" w:hAnsi="Arial Narrow"/>
                <w:i/>
                <w:sz w:val="20"/>
                <w:szCs w:val="17"/>
              </w:rPr>
            </w:pPr>
          </w:p>
          <w:p w14:paraId="2477BA79" w14:textId="77777777" w:rsidR="000C30A6" w:rsidRPr="00D51AAA" w:rsidRDefault="000C30A6" w:rsidP="003055DA">
            <w:pPr>
              <w:pStyle w:val="af3"/>
              <w:ind w:firstLine="0"/>
              <w:rPr>
                <w:rFonts w:ascii="Arial Narrow" w:hAnsi="Arial Narrow"/>
                <w:i/>
                <w:sz w:val="20"/>
                <w:szCs w:val="17"/>
              </w:rPr>
            </w:pPr>
          </w:p>
          <w:p w14:paraId="20397692" w14:textId="77777777" w:rsidR="000C30A6" w:rsidRPr="00D51AAA" w:rsidRDefault="000C30A6" w:rsidP="003055DA">
            <w:pPr>
              <w:pStyle w:val="af3"/>
              <w:ind w:firstLine="0"/>
              <w:rPr>
                <w:rFonts w:ascii="Arial Narrow" w:hAnsi="Arial Narrow"/>
                <w:i/>
                <w:sz w:val="20"/>
                <w:szCs w:val="17"/>
              </w:rPr>
            </w:pPr>
          </w:p>
          <w:p w14:paraId="578684DF" w14:textId="77777777" w:rsidR="000C30A6" w:rsidRPr="00D51AAA" w:rsidRDefault="000C30A6" w:rsidP="003055DA">
            <w:pPr>
              <w:pStyle w:val="af3"/>
              <w:ind w:firstLine="0"/>
              <w:rPr>
                <w:rFonts w:ascii="Arial Narrow" w:hAnsi="Arial Narrow"/>
                <w:i/>
                <w:sz w:val="20"/>
                <w:szCs w:val="17"/>
              </w:rPr>
            </w:pPr>
          </w:p>
          <w:p w14:paraId="5EA443F0" w14:textId="77777777" w:rsidR="000C30A6" w:rsidRPr="00B2312D" w:rsidRDefault="000C30A6" w:rsidP="003055DA">
            <w:pPr>
              <w:pStyle w:val="af3"/>
              <w:ind w:firstLine="0"/>
              <w:rPr>
                <w:rFonts w:ascii="Arial Narrow" w:hAnsi="Arial Narrow"/>
                <w:i/>
                <w:sz w:val="20"/>
                <w:szCs w:val="17"/>
                <w:lang w:val="en-US"/>
              </w:rPr>
            </w:pPr>
          </w:p>
          <w:p w14:paraId="5ECF41BA" w14:textId="77777777" w:rsidR="000C30A6" w:rsidRPr="00D51AAA" w:rsidRDefault="000C30A6" w:rsidP="003055DA">
            <w:pPr>
              <w:pStyle w:val="af3"/>
              <w:ind w:firstLine="0"/>
              <w:rPr>
                <w:rFonts w:ascii="Arial Narrow" w:hAnsi="Arial Narrow"/>
                <w:i/>
                <w:sz w:val="20"/>
                <w:szCs w:val="17"/>
              </w:rPr>
            </w:pPr>
          </w:p>
          <w:p w14:paraId="501959DB" w14:textId="77777777" w:rsidR="000C30A6" w:rsidRPr="00D51AAA" w:rsidRDefault="000C30A6" w:rsidP="003055DA">
            <w:pPr>
              <w:pStyle w:val="TableTitle"/>
              <w:spacing w:before="120" w:after="0"/>
              <w:jc w:val="left"/>
              <w:rPr>
                <w:rFonts w:ascii="Arial Narrow" w:hAnsi="Arial Narrow" w:cs="Times New Roman"/>
                <w:b w:val="0"/>
                <w:i/>
                <w:szCs w:val="17"/>
              </w:rPr>
            </w:pPr>
          </w:p>
        </w:tc>
      </w:tr>
    </w:tbl>
    <w:p w14:paraId="4482F149" w14:textId="77777777" w:rsidR="000C30A6" w:rsidRDefault="000C30A6" w:rsidP="000C30A6">
      <w:pPr>
        <w:pStyle w:val="af3"/>
        <w:ind w:firstLine="0"/>
      </w:pPr>
    </w:p>
    <w:p w14:paraId="6E6F5D0D" w14:textId="77777777" w:rsidR="004D5814" w:rsidRPr="000C30A6" w:rsidRDefault="004D5814" w:rsidP="003055DA">
      <w:pPr>
        <w:rPr>
          <w:lang w:val="en-GB"/>
        </w:rPr>
      </w:pPr>
    </w:p>
    <w:p w14:paraId="4151AC44" w14:textId="77777777" w:rsidR="004D5814" w:rsidRDefault="004D5814" w:rsidP="003055DA">
      <w:pPr>
        <w:rPr>
          <w:rtl/>
        </w:rPr>
      </w:pPr>
    </w:p>
    <w:p w14:paraId="754A7FF2" w14:textId="77777777" w:rsidR="004D5814" w:rsidRDefault="004D5814" w:rsidP="003055DA">
      <w:pPr>
        <w:rPr>
          <w:rFonts w:eastAsia="Calibri"/>
          <w:rtl/>
        </w:rPr>
      </w:pPr>
      <w:r>
        <w:rPr>
          <w:rFonts w:eastAsia="Calibri" w:hint="cs"/>
          <w:rtl/>
        </w:rPr>
        <w:t>___ ב________ התש_______ (___ ב________ ____20)</w:t>
      </w:r>
    </w:p>
    <w:p w14:paraId="461B5F8C" w14:textId="77777777" w:rsidR="004D5814" w:rsidRDefault="000C30A6" w:rsidP="000C30A6">
      <w:pPr>
        <w:rPr>
          <w:rtl/>
        </w:rPr>
      </w:pPr>
      <w:r>
        <w:rPr>
          <w:rFonts w:hint="cs"/>
          <w:rtl/>
        </w:rPr>
        <w:t xml:space="preserve"> </w:t>
      </w:r>
      <w:r w:rsidR="004D5814">
        <w:rPr>
          <w:rFonts w:hint="cs"/>
          <w:rtl/>
        </w:rPr>
        <w:t>(</w:t>
      </w:r>
      <w:proofErr w:type="spellStart"/>
      <w:r w:rsidR="004D5814">
        <w:rPr>
          <w:rFonts w:hint="cs"/>
          <w:rtl/>
        </w:rPr>
        <w:t>חמ</w:t>
      </w:r>
      <w:proofErr w:type="spellEnd"/>
      <w:r w:rsidR="004D5814">
        <w:rPr>
          <w:rFonts w:hint="cs"/>
          <w:rtl/>
        </w:rPr>
        <w:t xml:space="preserve"> </w:t>
      </w:r>
      <w:r>
        <w:rPr>
          <w:rFonts w:hint="cs"/>
          <w:rtl/>
        </w:rPr>
        <w:t>3-3385</w:t>
      </w:r>
      <w:r w:rsidR="004D5814">
        <w:rPr>
          <w:rFonts w:hint="cs"/>
          <w:rtl/>
        </w:rPr>
        <w:t>)</w:t>
      </w:r>
    </w:p>
    <w:p w14:paraId="232D68C9" w14:textId="77777777" w:rsidR="004D5814" w:rsidRDefault="004D5814" w:rsidP="003055DA">
      <w:pPr>
        <w:rPr>
          <w:rtl/>
        </w:rPr>
      </w:pPr>
    </w:p>
    <w:p w14:paraId="2019A237" w14:textId="77777777" w:rsidR="004D5814" w:rsidRDefault="000C30A6" w:rsidP="003055DA">
      <w:pPr>
        <w:ind w:left="5760"/>
        <w:jc w:val="center"/>
        <w:rPr>
          <w:rtl/>
        </w:rPr>
      </w:pPr>
      <w:r>
        <w:rPr>
          <w:rFonts w:hint="cs"/>
          <w:rtl/>
        </w:rPr>
        <w:t>__________________</w:t>
      </w:r>
    </w:p>
    <w:p w14:paraId="1270DE7E" w14:textId="77777777" w:rsidR="004D5814" w:rsidRDefault="000C30A6" w:rsidP="003055DA">
      <w:pPr>
        <w:ind w:left="5760"/>
        <w:jc w:val="center"/>
        <w:rPr>
          <w:rtl/>
        </w:rPr>
      </w:pPr>
      <w:r>
        <w:rPr>
          <w:rFonts w:hint="cs"/>
          <w:rtl/>
        </w:rPr>
        <w:t>ישראל כץ</w:t>
      </w:r>
    </w:p>
    <w:p w14:paraId="0F143855" w14:textId="77777777" w:rsidR="004D5814" w:rsidRDefault="000C30A6" w:rsidP="003055DA">
      <w:pPr>
        <w:ind w:left="5760"/>
        <w:jc w:val="center"/>
        <w:rPr>
          <w:rtl/>
        </w:rPr>
      </w:pPr>
      <w:r>
        <w:rPr>
          <w:rFonts w:hint="cs"/>
          <w:rtl/>
        </w:rPr>
        <w:t>שר האוצר</w:t>
      </w:r>
    </w:p>
    <w:p w14:paraId="15C1BCF8" w14:textId="77777777" w:rsidR="004D5814" w:rsidRDefault="004D5814" w:rsidP="003055DA">
      <w:pPr>
        <w:rPr>
          <w:rtl/>
        </w:rPr>
      </w:pPr>
    </w:p>
    <w:p w14:paraId="447B3063" w14:textId="77777777" w:rsidR="004D5814" w:rsidRDefault="004D5814" w:rsidP="003055DA">
      <w:pPr>
        <w:pStyle w:val="HeadDivreiHesber"/>
        <w:rPr>
          <w:rtl/>
        </w:rPr>
      </w:pPr>
      <w:bookmarkStart w:id="39" w:name="_Toc53333069"/>
      <w:bookmarkStart w:id="40" w:name="_Toc53333095"/>
      <w:r>
        <w:rPr>
          <w:rtl/>
        </w:rPr>
        <w:t>דברי הסבר</w:t>
      </w:r>
      <w:bookmarkEnd w:id="39"/>
      <w:bookmarkEnd w:id="40"/>
    </w:p>
    <w:p w14:paraId="44FC2BF1" w14:textId="77777777" w:rsidR="004D5814" w:rsidRDefault="004D5814" w:rsidP="003055DA">
      <w:pPr>
        <w:pStyle w:val="Hesber1st"/>
        <w:tabs>
          <w:tab w:val="clear" w:pos="680"/>
        </w:tabs>
        <w:rPr>
          <w:rtl/>
        </w:rPr>
      </w:pPr>
    </w:p>
    <w:p w14:paraId="192E9E8F" w14:textId="77777777" w:rsidR="000C30A6" w:rsidRPr="00B820AE" w:rsidRDefault="000C30A6" w:rsidP="000C30A6">
      <w:pPr>
        <w:pStyle w:val="Hesber1st"/>
        <w:rPr>
          <w:b/>
          <w:bCs/>
        </w:rPr>
      </w:pPr>
      <w:r w:rsidRPr="00B820AE">
        <w:rPr>
          <w:rFonts w:hint="cs"/>
          <w:b/>
          <w:bCs/>
          <w:rtl/>
        </w:rPr>
        <w:t>כללי</w:t>
      </w:r>
    </w:p>
    <w:p w14:paraId="2C859DE8" w14:textId="77777777" w:rsidR="000C30A6" w:rsidRPr="00E10A5D" w:rsidRDefault="000C30A6" w:rsidP="000937EE">
      <w:pPr>
        <w:pStyle w:val="Hesber"/>
        <w:rPr>
          <w:rtl/>
        </w:rPr>
      </w:pPr>
      <w:r w:rsidRPr="004E1FA9">
        <w:rPr>
          <w:rtl/>
        </w:rPr>
        <w:t xml:space="preserve">בהמשך </w:t>
      </w:r>
      <w:r w:rsidRPr="004E1FA9">
        <w:rPr>
          <w:rFonts w:hint="cs"/>
          <w:rtl/>
        </w:rPr>
        <w:t>להצעת חוק</w:t>
      </w:r>
      <w:r w:rsidRPr="004E1FA9">
        <w:rPr>
          <w:rtl/>
        </w:rPr>
        <w:t xml:space="preserve"> לתיקון פקודת מס הכנסה (מספר 238) </w:t>
      </w:r>
      <w:proofErr w:type="spellStart"/>
      <w:r w:rsidRPr="004E1FA9">
        <w:rPr>
          <w:rtl/>
        </w:rPr>
        <w:t>התשע"ז</w:t>
      </w:r>
      <w:proofErr w:type="spellEnd"/>
      <w:r w:rsidRPr="004E1FA9">
        <w:rPr>
          <w:rtl/>
        </w:rPr>
        <w:t xml:space="preserve"> – 2017</w:t>
      </w:r>
      <w:r w:rsidRPr="004E1FA9">
        <w:rPr>
          <w:rFonts w:hint="cs"/>
          <w:rtl/>
        </w:rPr>
        <w:t xml:space="preserve"> (להלן </w:t>
      </w:r>
      <w:r w:rsidRPr="004E1FA9">
        <w:rPr>
          <w:rtl/>
        </w:rPr>
        <w:t>–</w:t>
      </w:r>
      <w:r w:rsidRPr="004E1FA9">
        <w:rPr>
          <w:rFonts w:hint="cs"/>
          <w:rtl/>
        </w:rPr>
        <w:t xml:space="preserve"> הצעת החוק),</w:t>
      </w:r>
      <w:r w:rsidRPr="004E1FA9">
        <w:rPr>
          <w:rtl/>
        </w:rPr>
        <w:t> ש</w:t>
      </w:r>
      <w:r w:rsidRPr="004E1FA9">
        <w:rPr>
          <w:rFonts w:hint="cs"/>
          <w:rtl/>
        </w:rPr>
        <w:t>אושרה</w:t>
      </w:r>
      <w:r w:rsidRPr="004E1FA9">
        <w:rPr>
          <w:rtl/>
        </w:rPr>
        <w:t xml:space="preserve"> </w:t>
      </w:r>
      <w:r w:rsidRPr="004E1FA9">
        <w:rPr>
          <w:rFonts w:hint="cs"/>
          <w:rtl/>
        </w:rPr>
        <w:t>בכנסת ב</w:t>
      </w:r>
      <w:r w:rsidRPr="004E1FA9">
        <w:rPr>
          <w:rtl/>
        </w:rPr>
        <w:t xml:space="preserve">קריאה ראשונה, </w:t>
      </w:r>
      <w:r w:rsidR="004E1FA9" w:rsidRPr="004E1FA9">
        <w:rPr>
          <w:rFonts w:hint="cs"/>
          <w:rtl/>
        </w:rPr>
        <w:t xml:space="preserve">ולהפצת תזכיר </w:t>
      </w:r>
      <w:r w:rsidR="004E1FA9" w:rsidRPr="004E1FA9">
        <w:rPr>
          <w:rtl/>
        </w:rPr>
        <w:t>חוק לתיקון פקודת מס הכנסה (תיקון מס' ), התש"ף-2020</w:t>
      </w:r>
      <w:r w:rsidR="004E1FA9" w:rsidRPr="004E1FA9">
        <w:rPr>
          <w:rFonts w:hint="cs"/>
          <w:rtl/>
        </w:rPr>
        <w:t>, שתכליתן</w:t>
      </w:r>
      <w:r w:rsidR="004E1FA9" w:rsidRPr="004E1FA9">
        <w:rPr>
          <w:rtl/>
        </w:rPr>
        <w:t xml:space="preserve"> </w:t>
      </w:r>
      <w:r w:rsidRPr="004E1FA9">
        <w:rPr>
          <w:rtl/>
        </w:rPr>
        <w:t xml:space="preserve">לעדכן את כללי התיעוד והדיווח במחירי העברה, </w:t>
      </w:r>
      <w:r w:rsidRPr="004E1FA9">
        <w:rPr>
          <w:rFonts w:hint="cs"/>
          <w:rtl/>
        </w:rPr>
        <w:t>מוצע</w:t>
      </w:r>
      <w:r w:rsidRPr="004E1FA9">
        <w:rPr>
          <w:rtl/>
        </w:rPr>
        <w:t xml:space="preserve"> ל</w:t>
      </w:r>
      <w:r w:rsidRPr="004E1FA9">
        <w:rPr>
          <w:rFonts w:hint="cs"/>
          <w:rtl/>
        </w:rPr>
        <w:t>בצע עדכון מקביל</w:t>
      </w:r>
      <w:r w:rsidRPr="004E1FA9">
        <w:rPr>
          <w:rtl/>
        </w:rPr>
        <w:t xml:space="preserve"> </w:t>
      </w:r>
      <w:r w:rsidRPr="004E1FA9">
        <w:rPr>
          <w:rFonts w:hint="cs"/>
          <w:rtl/>
        </w:rPr>
        <w:t>ב</w:t>
      </w:r>
      <w:r w:rsidRPr="004E1FA9">
        <w:rPr>
          <w:rtl/>
        </w:rPr>
        <w:t xml:space="preserve">תקנות מחירי העברה (קביעת תנאי שוק), </w:t>
      </w:r>
      <w:proofErr w:type="spellStart"/>
      <w:r w:rsidRPr="004E1FA9">
        <w:rPr>
          <w:rFonts w:hint="cs"/>
          <w:rtl/>
        </w:rPr>
        <w:t>התשס"ז</w:t>
      </w:r>
      <w:proofErr w:type="spellEnd"/>
      <w:r w:rsidRPr="004E1FA9">
        <w:rPr>
          <w:rtl/>
        </w:rPr>
        <w:t xml:space="preserve"> – </w:t>
      </w:r>
      <w:r w:rsidRPr="004E1FA9">
        <w:rPr>
          <w:rFonts w:hint="cs"/>
          <w:rtl/>
        </w:rPr>
        <w:t>2006.</w:t>
      </w:r>
    </w:p>
    <w:p w14:paraId="1D078B79" w14:textId="77777777" w:rsidR="000C30A6" w:rsidRPr="00E10A5D" w:rsidRDefault="000C30A6" w:rsidP="00E10A5D">
      <w:pPr>
        <w:pStyle w:val="Hesber"/>
        <w:rPr>
          <w:rtl/>
        </w:rPr>
      </w:pPr>
      <w:r w:rsidRPr="00E10A5D">
        <w:rPr>
          <w:rFonts w:hint="cs"/>
          <w:rtl/>
        </w:rPr>
        <w:t>בשנים האחרונות חלו התפתחויות משמעותיות בתחום מחירי העברה</w:t>
      </w:r>
      <w:r w:rsidRPr="00E10A5D">
        <w:rPr>
          <w:rtl/>
        </w:rPr>
        <w:t xml:space="preserve"> בארץ ובעולם</w:t>
      </w:r>
      <w:r w:rsidRPr="00E10A5D">
        <w:rPr>
          <w:rFonts w:hint="cs"/>
          <w:rtl/>
        </w:rPr>
        <w:t xml:space="preserve">. התפתחויות אלו נועדות לתת מענה לאתגר הגדול איתן מתמודדות מדינות בבואן למסות תאגידים רב לאומיים על הפעילות בשטחן. </w:t>
      </w:r>
      <w:r w:rsidRPr="00E10A5D">
        <w:rPr>
          <w:rtl/>
        </w:rPr>
        <w:t xml:space="preserve">בשנים האחרונות פרסם ה- </w:t>
      </w:r>
      <w:r w:rsidRPr="00E10A5D">
        <w:t>OECD</w:t>
      </w:r>
      <w:r w:rsidRPr="00E10A5D">
        <w:rPr>
          <w:rtl/>
        </w:rPr>
        <w:t xml:space="preserve"> יחד עם מדינות ה- </w:t>
      </w:r>
      <w:r w:rsidRPr="00E10A5D">
        <w:t>G-20</w:t>
      </w:r>
      <w:r w:rsidRPr="00E10A5D">
        <w:rPr>
          <w:rtl/>
        </w:rPr>
        <w:t xml:space="preserve"> מספר </w:t>
      </w:r>
      <w:proofErr w:type="spellStart"/>
      <w:r w:rsidRPr="00E10A5D">
        <w:rPr>
          <w:rtl/>
        </w:rPr>
        <w:t>תכניות</w:t>
      </w:r>
      <w:proofErr w:type="spellEnd"/>
      <w:r w:rsidRPr="00E10A5D">
        <w:rPr>
          <w:rtl/>
        </w:rPr>
        <w:t xml:space="preserve"> פעולה הנוגעות גם למחירי העברה</w:t>
      </w:r>
      <w:r w:rsidRPr="00E10A5D">
        <w:rPr>
          <w:rFonts w:hint="cs"/>
          <w:rtl/>
        </w:rPr>
        <w:t>, ביניהן</w:t>
      </w:r>
      <w:r w:rsidRPr="00E10A5D">
        <w:rPr>
          <w:rtl/>
        </w:rPr>
        <w:t xml:space="preserve"> </w:t>
      </w:r>
      <w:r w:rsidRPr="00E10A5D">
        <w:rPr>
          <w:rFonts w:hint="cs"/>
          <w:rtl/>
        </w:rPr>
        <w:t xml:space="preserve"> תכנית פעולה 13 (</w:t>
      </w:r>
      <w:r w:rsidRPr="00E10A5D">
        <w:rPr>
          <w:rFonts w:hint="cs"/>
        </w:rPr>
        <w:t>A</w:t>
      </w:r>
      <w:r w:rsidRPr="00E10A5D">
        <w:t>ction 13</w:t>
      </w:r>
      <w:r w:rsidRPr="00E10A5D">
        <w:rPr>
          <w:rFonts w:hint="cs"/>
          <w:rtl/>
        </w:rPr>
        <w:t xml:space="preserve">) </w:t>
      </w:r>
      <w:r w:rsidRPr="00E10A5D">
        <w:rPr>
          <w:rtl/>
        </w:rPr>
        <w:t xml:space="preserve">, </w:t>
      </w:r>
      <w:r w:rsidRPr="00E10A5D">
        <w:rPr>
          <w:rFonts w:hint="cs"/>
          <w:rtl/>
        </w:rPr>
        <w:t xml:space="preserve">בנושא </w:t>
      </w:r>
      <w:r w:rsidRPr="00E10A5D">
        <w:rPr>
          <w:rtl/>
        </w:rPr>
        <w:t>תיעוד ודיווח במחירי העברה.</w:t>
      </w:r>
    </w:p>
    <w:p w14:paraId="457E71A8" w14:textId="77777777" w:rsidR="000C30A6" w:rsidRPr="00E10A5D" w:rsidRDefault="000C30A6" w:rsidP="00E10A5D">
      <w:pPr>
        <w:pStyle w:val="Hesber"/>
        <w:rPr>
          <w:rtl/>
        </w:rPr>
      </w:pPr>
    </w:p>
    <w:p w14:paraId="1EDB0590" w14:textId="77777777" w:rsidR="000C30A6" w:rsidRPr="00E10A5D" w:rsidRDefault="000C30A6" w:rsidP="00E10A5D">
      <w:pPr>
        <w:pStyle w:val="Hesber"/>
        <w:rPr>
          <w:rtl/>
        </w:rPr>
      </w:pPr>
      <w:proofErr w:type="spellStart"/>
      <w:r w:rsidRPr="00E10A5D">
        <w:rPr>
          <w:rFonts w:hint="cs"/>
          <w:rtl/>
        </w:rPr>
        <w:t>בתכנית</w:t>
      </w:r>
      <w:proofErr w:type="spellEnd"/>
      <w:r w:rsidRPr="00E10A5D">
        <w:rPr>
          <w:rFonts w:hint="cs"/>
          <w:rtl/>
        </w:rPr>
        <w:t xml:space="preserve"> פעולה זו נ</w:t>
      </w:r>
      <w:r w:rsidRPr="00E10A5D">
        <w:rPr>
          <w:rtl/>
        </w:rPr>
        <w:t>קבע ש</w:t>
      </w:r>
      <w:r w:rsidRPr="00E10A5D">
        <w:rPr>
          <w:rFonts w:hint="cs"/>
          <w:rtl/>
        </w:rPr>
        <w:t>חובות ה</w:t>
      </w:r>
      <w:r w:rsidRPr="00E10A5D">
        <w:rPr>
          <w:rtl/>
        </w:rPr>
        <w:t>תיעוד במחירי העברה</w:t>
      </w:r>
      <w:r w:rsidRPr="00E10A5D">
        <w:rPr>
          <w:rFonts w:hint="cs"/>
          <w:rtl/>
        </w:rPr>
        <w:t xml:space="preserve"> לעניין עסקה שנעשית בין שתי ישויות ממדינות שונות בקבוצה רב לאומית,</w:t>
      </w:r>
      <w:r w:rsidRPr="00E10A5D">
        <w:rPr>
          <w:rtl/>
        </w:rPr>
        <w:t xml:space="preserve"> יורכב</w:t>
      </w:r>
      <w:r w:rsidRPr="00E10A5D">
        <w:rPr>
          <w:rFonts w:hint="cs"/>
          <w:rtl/>
        </w:rPr>
        <w:t>ו</w:t>
      </w:r>
      <w:r w:rsidRPr="00E10A5D">
        <w:rPr>
          <w:rtl/>
        </w:rPr>
        <w:t xml:space="preserve"> מ- </w:t>
      </w:r>
      <w:r w:rsidRPr="00E10A5D">
        <w:rPr>
          <w:rFonts w:hint="cs"/>
          <w:rtl/>
        </w:rPr>
        <w:t>שלושה</w:t>
      </w:r>
      <w:r w:rsidRPr="00E10A5D">
        <w:rPr>
          <w:rtl/>
        </w:rPr>
        <w:t xml:space="preserve"> נדבכים:</w:t>
      </w:r>
    </w:p>
    <w:p w14:paraId="53711C62" w14:textId="77777777" w:rsidR="000C30A6" w:rsidRPr="00E10A5D" w:rsidRDefault="000C30A6" w:rsidP="00E10A5D">
      <w:pPr>
        <w:pStyle w:val="Hesber"/>
        <w:rPr>
          <w:rtl/>
        </w:rPr>
      </w:pPr>
      <w:r w:rsidRPr="00E10A5D">
        <w:rPr>
          <w:rtl/>
        </w:rPr>
        <w:t xml:space="preserve">א.     </w:t>
      </w:r>
      <w:r w:rsidRPr="00E10A5D">
        <w:t>Local File</w:t>
      </w:r>
      <w:r w:rsidRPr="00E10A5D">
        <w:rPr>
          <w:rtl/>
        </w:rPr>
        <w:t xml:space="preserve"> </w:t>
      </w:r>
      <w:r w:rsidRPr="00E10A5D">
        <w:rPr>
          <w:rFonts w:hint="cs"/>
          <w:rtl/>
        </w:rPr>
        <w:t>– מידע אודות עסקאות שביצעה ישות מקומית בקבוצה הרב לאומית. חובת תיעוד זו דומה במהותה לחובת הדיווח הקיימת היום בתקנות, בתוספת רכיבי מידע נוספים החיוניים לקביעת תנאי השוק בעסקאות אלו.</w:t>
      </w:r>
    </w:p>
    <w:p w14:paraId="355AC8D9" w14:textId="77777777" w:rsidR="000C30A6" w:rsidRPr="00E10A5D" w:rsidRDefault="000C30A6" w:rsidP="00E10A5D">
      <w:pPr>
        <w:pStyle w:val="Hesber"/>
        <w:rPr>
          <w:rtl/>
        </w:rPr>
      </w:pPr>
    </w:p>
    <w:p w14:paraId="76D80039" w14:textId="77777777" w:rsidR="000C30A6" w:rsidRPr="00E10A5D" w:rsidRDefault="000C30A6" w:rsidP="00E10A5D">
      <w:pPr>
        <w:pStyle w:val="Hesber"/>
        <w:rPr>
          <w:rtl/>
        </w:rPr>
      </w:pPr>
      <w:r w:rsidRPr="00E10A5D">
        <w:rPr>
          <w:rtl/>
        </w:rPr>
        <w:t xml:space="preserve">ב.     </w:t>
      </w:r>
      <w:r w:rsidRPr="00E10A5D">
        <w:t>Master File</w:t>
      </w:r>
      <w:r w:rsidRPr="00E10A5D">
        <w:rPr>
          <w:rtl/>
        </w:rPr>
        <w:t xml:space="preserve"> </w:t>
      </w:r>
      <w:r w:rsidRPr="00E10A5D">
        <w:rPr>
          <w:rFonts w:hint="cs"/>
          <w:rtl/>
        </w:rPr>
        <w:t xml:space="preserve">– מידע מקיף אודות הקבוצה הרב לאומית בכללותה. מקורם של נתונים אלו בדרך כלל יהיה בחברת האם הסופית של הקבוצה, כאשר החברות הבנות יוכלו להגיש את המידע במדינת </w:t>
      </w:r>
      <w:proofErr w:type="spellStart"/>
      <w:r w:rsidRPr="00E10A5D">
        <w:rPr>
          <w:rFonts w:hint="cs"/>
          <w:rtl/>
        </w:rPr>
        <w:t>תושבותן</w:t>
      </w:r>
      <w:proofErr w:type="spellEnd"/>
      <w:r w:rsidRPr="00E10A5D">
        <w:rPr>
          <w:rFonts w:hint="cs"/>
          <w:rtl/>
        </w:rPr>
        <w:t xml:space="preserve">, אם יתבקשו לעשות זאת. </w:t>
      </w:r>
    </w:p>
    <w:p w14:paraId="578D9147" w14:textId="77777777" w:rsidR="000C30A6" w:rsidRPr="00E10A5D" w:rsidRDefault="000C30A6" w:rsidP="00E10A5D">
      <w:pPr>
        <w:pStyle w:val="Hesber"/>
      </w:pPr>
    </w:p>
    <w:p w14:paraId="6D0B3352" w14:textId="77777777" w:rsidR="000C30A6" w:rsidRPr="00E10A5D" w:rsidRDefault="000C30A6" w:rsidP="00FB26AB">
      <w:pPr>
        <w:pStyle w:val="Hesber"/>
        <w:rPr>
          <w:rtl/>
        </w:rPr>
      </w:pPr>
      <w:r w:rsidRPr="00E10A5D">
        <w:rPr>
          <w:rtl/>
        </w:rPr>
        <w:t xml:space="preserve">ג.      </w:t>
      </w:r>
      <w:r w:rsidRPr="00E10A5D">
        <w:t xml:space="preserve">  – Country </w:t>
      </w:r>
      <w:proofErr w:type="gramStart"/>
      <w:r w:rsidRPr="00E10A5D">
        <w:t>By</w:t>
      </w:r>
      <w:proofErr w:type="gramEnd"/>
      <w:r w:rsidRPr="00E10A5D">
        <w:t xml:space="preserve"> Country (CBC) Report</w:t>
      </w:r>
      <w:r w:rsidRPr="00E10A5D">
        <w:rPr>
          <w:rtl/>
        </w:rPr>
        <w:t xml:space="preserve">דוח בין מדינתי </w:t>
      </w:r>
      <w:r w:rsidRPr="00E10A5D">
        <w:rPr>
          <w:rFonts w:hint="cs"/>
          <w:rtl/>
        </w:rPr>
        <w:t xml:space="preserve">הכולל </w:t>
      </w:r>
      <w:r w:rsidRPr="00E10A5D">
        <w:rPr>
          <w:rtl/>
        </w:rPr>
        <w:t xml:space="preserve">מידע מקיף </w:t>
      </w:r>
      <w:r w:rsidRPr="00E10A5D">
        <w:rPr>
          <w:rFonts w:hint="cs"/>
          <w:rtl/>
        </w:rPr>
        <w:t xml:space="preserve">ומפורט </w:t>
      </w:r>
      <w:r w:rsidRPr="00E10A5D">
        <w:rPr>
          <w:rtl/>
        </w:rPr>
        <w:t>על כל ישויות הקבוצה</w:t>
      </w:r>
      <w:r w:rsidRPr="00E10A5D">
        <w:rPr>
          <w:rFonts w:hint="cs"/>
          <w:rtl/>
        </w:rPr>
        <w:t xml:space="preserve"> הרב לאומית, שתגיש ישות האם הסופית במדינת </w:t>
      </w:r>
      <w:proofErr w:type="spellStart"/>
      <w:r w:rsidRPr="00E10A5D">
        <w:rPr>
          <w:rFonts w:hint="cs"/>
          <w:rtl/>
        </w:rPr>
        <w:t>תושבותה</w:t>
      </w:r>
      <w:proofErr w:type="spellEnd"/>
      <w:r w:rsidRPr="00E10A5D">
        <w:rPr>
          <w:rFonts w:hint="cs"/>
          <w:rtl/>
        </w:rPr>
        <w:t>.</w:t>
      </w:r>
      <w:r w:rsidRPr="00E10A5D">
        <w:rPr>
          <w:rtl/>
        </w:rPr>
        <w:t xml:space="preserve"> </w:t>
      </w:r>
      <w:r w:rsidRPr="00E10A5D">
        <w:rPr>
          <w:rFonts w:hint="cs"/>
          <w:rtl/>
        </w:rPr>
        <w:t xml:space="preserve">לפי תכנית פעולה 13, וההסכם הבין לאומי שגובש בעקבותיו, הדוח </w:t>
      </w:r>
      <w:r w:rsidRPr="00E10A5D">
        <w:rPr>
          <w:rtl/>
        </w:rPr>
        <w:t xml:space="preserve">יוגש </w:t>
      </w:r>
      <w:r w:rsidRPr="00E10A5D">
        <w:rPr>
          <w:rFonts w:hint="cs"/>
          <w:rtl/>
        </w:rPr>
        <w:t>רק בחברות רב לאומיות</w:t>
      </w:r>
      <w:r w:rsidRPr="00E10A5D">
        <w:rPr>
          <w:rtl/>
        </w:rPr>
        <w:t xml:space="preserve"> </w:t>
      </w:r>
      <w:r w:rsidRPr="00E10A5D">
        <w:rPr>
          <w:rFonts w:hint="cs"/>
          <w:rtl/>
        </w:rPr>
        <w:t>שה</w:t>
      </w:r>
      <w:r w:rsidRPr="00E10A5D">
        <w:rPr>
          <w:rtl/>
        </w:rPr>
        <w:t xml:space="preserve">מחזור </w:t>
      </w:r>
      <w:r w:rsidRPr="00E10A5D">
        <w:rPr>
          <w:rFonts w:hint="cs"/>
          <w:rtl/>
        </w:rPr>
        <w:t>ה</w:t>
      </w:r>
      <w:r w:rsidRPr="00E10A5D">
        <w:rPr>
          <w:rtl/>
        </w:rPr>
        <w:t>מאוחד של</w:t>
      </w:r>
      <w:r w:rsidRPr="00E10A5D">
        <w:rPr>
          <w:rFonts w:hint="cs"/>
          <w:rtl/>
        </w:rPr>
        <w:t>הן גבוה מ-</w:t>
      </w:r>
      <w:r w:rsidRPr="00E10A5D">
        <w:rPr>
          <w:rtl/>
        </w:rPr>
        <w:t xml:space="preserve"> </w:t>
      </w:r>
      <w:r w:rsidR="00FB26AB">
        <w:rPr>
          <w:rFonts w:hint="cs"/>
          <w:rtl/>
        </w:rPr>
        <w:t xml:space="preserve">3 </w:t>
      </w:r>
      <w:r w:rsidRPr="00E10A5D">
        <w:rPr>
          <w:rtl/>
        </w:rPr>
        <w:t>מיליארד ₪</w:t>
      </w:r>
      <w:r w:rsidRPr="00E10A5D">
        <w:rPr>
          <w:rFonts w:hint="cs"/>
          <w:rtl/>
        </w:rPr>
        <w:t xml:space="preserve"> (750 מיליון אירו)</w:t>
      </w:r>
      <w:r w:rsidRPr="00E10A5D">
        <w:rPr>
          <w:rtl/>
        </w:rPr>
        <w:t xml:space="preserve">. </w:t>
      </w:r>
      <w:r w:rsidRPr="00E10A5D">
        <w:rPr>
          <w:rFonts w:hint="cs"/>
          <w:rtl/>
        </w:rPr>
        <w:t>החובה המיוחדת להכין ולהגיש את הדוח האמור, תתווסף לפקודה בסעיף 85ג על פי הצעת החוק, המונחת בו</w:t>
      </w:r>
      <w:r w:rsidR="00E10A5D">
        <w:rPr>
          <w:rFonts w:hint="cs"/>
          <w:rtl/>
        </w:rPr>
        <w:t>ו</w:t>
      </w:r>
      <w:r w:rsidRPr="00E10A5D">
        <w:rPr>
          <w:rFonts w:hint="cs"/>
          <w:rtl/>
        </w:rPr>
        <w:t>עדת הכספים לקראת הכנה לקראת קריאה שניה ושלישית.</w:t>
      </w:r>
    </w:p>
    <w:p w14:paraId="61BCCB85" w14:textId="77777777" w:rsidR="000C30A6" w:rsidRPr="00B12A87" w:rsidRDefault="000C30A6" w:rsidP="000C30A6">
      <w:pPr>
        <w:pStyle w:val="Hesber1st"/>
      </w:pPr>
    </w:p>
    <w:p w14:paraId="22D89B8A" w14:textId="77777777" w:rsidR="000C30A6" w:rsidRPr="00E10A5D" w:rsidRDefault="000C30A6" w:rsidP="00E10A5D">
      <w:pPr>
        <w:pStyle w:val="Hesber"/>
        <w:rPr>
          <w:rtl/>
        </w:rPr>
      </w:pPr>
      <w:r w:rsidRPr="00E10A5D">
        <w:rPr>
          <w:rFonts w:hint="cs"/>
          <w:rtl/>
        </w:rPr>
        <w:t>בתקנות אלו מוצע ליישם את תכנית פעולה 13 בישראל, כך שישויות ישראליות בקבוצה רב לאומית ידרשו לאסוף ולתעד את המידע במסגרת ה</w:t>
      </w:r>
      <w:r w:rsidRPr="00E10A5D">
        <w:t>-</w:t>
      </w:r>
      <w:r w:rsidRPr="00E10A5D">
        <w:rPr>
          <w:rFonts w:hint="cs"/>
          <w:rtl/>
        </w:rPr>
        <w:t xml:space="preserve"> </w:t>
      </w:r>
      <w:r w:rsidRPr="00E10A5D">
        <w:rPr>
          <w:rFonts w:hint="cs"/>
        </w:rPr>
        <w:t>L</w:t>
      </w:r>
      <w:r w:rsidRPr="00E10A5D">
        <w:t xml:space="preserve">ocal </w:t>
      </w:r>
      <w:r w:rsidRPr="00E10A5D">
        <w:rPr>
          <w:rFonts w:hint="cs"/>
        </w:rPr>
        <w:t>F</w:t>
      </w:r>
      <w:r w:rsidRPr="00E10A5D">
        <w:t>ile</w:t>
      </w:r>
      <w:r w:rsidRPr="00E10A5D">
        <w:rPr>
          <w:rFonts w:hint="cs"/>
          <w:rtl/>
        </w:rPr>
        <w:t xml:space="preserve"> וה-</w:t>
      </w:r>
      <w:r w:rsidRPr="00E10A5D">
        <w:rPr>
          <w:rtl/>
        </w:rPr>
        <w:t xml:space="preserve"> </w:t>
      </w:r>
      <w:r w:rsidRPr="00E10A5D">
        <w:t>Master File</w:t>
      </w:r>
      <w:r w:rsidRPr="00E10A5D">
        <w:rPr>
          <w:rtl/>
        </w:rPr>
        <w:t xml:space="preserve"> ו</w:t>
      </w:r>
      <w:r w:rsidRPr="00E10A5D">
        <w:rPr>
          <w:rFonts w:hint="cs"/>
          <w:rtl/>
        </w:rPr>
        <w:t>במקרים המתאימים</w:t>
      </w:r>
      <w:r w:rsidRPr="00E10A5D">
        <w:rPr>
          <w:rtl/>
        </w:rPr>
        <w:t xml:space="preserve"> </w:t>
      </w:r>
      <w:r w:rsidRPr="00E10A5D">
        <w:t>CBC</w:t>
      </w:r>
      <w:r w:rsidRPr="00E10A5D">
        <w:rPr>
          <w:rFonts w:hint="cs"/>
          <w:rtl/>
        </w:rPr>
        <w:t xml:space="preserve">. בהתאם לכך, מוצע לקבוע חובות תיעוד במתווה דומה למתווה שהוצע </w:t>
      </w:r>
      <w:proofErr w:type="spellStart"/>
      <w:r w:rsidRPr="00E10A5D">
        <w:rPr>
          <w:rFonts w:hint="cs"/>
          <w:rtl/>
        </w:rPr>
        <w:t>בתכנית</w:t>
      </w:r>
      <w:proofErr w:type="spellEnd"/>
      <w:r w:rsidRPr="00E10A5D">
        <w:rPr>
          <w:rFonts w:hint="cs"/>
          <w:rtl/>
        </w:rPr>
        <w:t xml:space="preserve"> פעולה 13. בנוסף, מוצעים תיקונים נקודתיים נוספים הנדרשים לצורך שיפור הביקורת השוטפת בתחום מחירי העברה.</w:t>
      </w:r>
      <w:r w:rsidRPr="00E10A5D">
        <w:rPr>
          <w:rtl/>
        </w:rPr>
        <w:t xml:space="preserve"> </w:t>
      </w:r>
    </w:p>
    <w:p w14:paraId="6AD3B806" w14:textId="77777777" w:rsidR="000C30A6" w:rsidRPr="00E10A5D" w:rsidRDefault="000C30A6" w:rsidP="00E10A5D">
      <w:pPr>
        <w:pStyle w:val="Hesber"/>
        <w:rPr>
          <w:rtl/>
        </w:rPr>
      </w:pPr>
    </w:p>
    <w:p w14:paraId="5747B58A" w14:textId="77777777" w:rsidR="000C30A6" w:rsidRPr="00E10A5D" w:rsidRDefault="000C30A6" w:rsidP="00E10A5D">
      <w:pPr>
        <w:pStyle w:val="Hesber"/>
        <w:rPr>
          <w:rtl/>
        </w:rPr>
      </w:pPr>
      <w:r w:rsidRPr="00E10A5D">
        <w:rPr>
          <w:rFonts w:hint="cs"/>
          <w:b/>
          <w:bCs/>
          <w:rtl/>
        </w:rPr>
        <w:t xml:space="preserve">לתקנה 1 </w:t>
      </w:r>
      <w:r w:rsidRPr="00E10A5D">
        <w:rPr>
          <w:b/>
          <w:bCs/>
          <w:rtl/>
        </w:rPr>
        <w:t>–</w:t>
      </w:r>
      <w:r w:rsidRPr="00E10A5D">
        <w:rPr>
          <w:rFonts w:hint="cs"/>
          <w:rtl/>
        </w:rPr>
        <w:t xml:space="preserve"> מוצע לתקן את סעיף ההגדרות ולהוסיף הגדרות שישמשו בתקנות.</w:t>
      </w:r>
    </w:p>
    <w:p w14:paraId="750C569B" w14:textId="77777777" w:rsidR="000C30A6" w:rsidRPr="00E10A5D" w:rsidRDefault="000C30A6" w:rsidP="00E10A5D">
      <w:pPr>
        <w:pStyle w:val="Hesber"/>
        <w:rPr>
          <w:rtl/>
        </w:rPr>
      </w:pPr>
      <w:r w:rsidRPr="00E10A5D">
        <w:rPr>
          <w:rFonts w:hint="eastAsia"/>
          <w:rtl/>
        </w:rPr>
        <w:t>דוח</w:t>
      </w:r>
      <w:r w:rsidRPr="00E10A5D">
        <w:rPr>
          <w:rtl/>
        </w:rPr>
        <w:t xml:space="preserve"> ה- </w:t>
      </w:r>
      <w:r w:rsidRPr="00E10A5D">
        <w:t>CBC</w:t>
      </w:r>
      <w:r w:rsidRPr="00E10A5D">
        <w:rPr>
          <w:rtl/>
        </w:rPr>
        <w:t xml:space="preserve"> יוגש באופן מקוון בהתאם לסעיף 85ג </w:t>
      </w:r>
      <w:r w:rsidRPr="00E10A5D">
        <w:rPr>
          <w:rFonts w:hint="eastAsia"/>
          <w:rtl/>
        </w:rPr>
        <w:t>על</w:t>
      </w:r>
      <w:r w:rsidRPr="00E10A5D">
        <w:rPr>
          <w:rtl/>
        </w:rPr>
        <w:t xml:space="preserve"> ידי </w:t>
      </w:r>
      <w:r w:rsidRPr="00E10A5D">
        <w:rPr>
          <w:rFonts w:hint="eastAsia"/>
          <w:rtl/>
        </w:rPr>
        <w:t>חברת</w:t>
      </w:r>
      <w:r w:rsidRPr="00E10A5D">
        <w:rPr>
          <w:rtl/>
        </w:rPr>
        <w:t xml:space="preserve"> </w:t>
      </w:r>
      <w:r w:rsidRPr="00E10A5D">
        <w:rPr>
          <w:rFonts w:hint="eastAsia"/>
          <w:rtl/>
        </w:rPr>
        <w:t>האם</w:t>
      </w:r>
      <w:r w:rsidRPr="00E10A5D">
        <w:rPr>
          <w:rtl/>
        </w:rPr>
        <w:t xml:space="preserve"> </w:t>
      </w:r>
      <w:r w:rsidRPr="00E10A5D">
        <w:rPr>
          <w:rFonts w:hint="eastAsia"/>
          <w:rtl/>
        </w:rPr>
        <w:t>הסופית</w:t>
      </w:r>
      <w:r w:rsidRPr="00E10A5D">
        <w:rPr>
          <w:rtl/>
        </w:rPr>
        <w:t xml:space="preserve"> </w:t>
      </w:r>
      <w:r w:rsidRPr="00E10A5D">
        <w:rPr>
          <w:rFonts w:hint="eastAsia"/>
          <w:rtl/>
        </w:rPr>
        <w:t>ויועבר</w:t>
      </w:r>
      <w:r w:rsidRPr="00E10A5D">
        <w:rPr>
          <w:rtl/>
        </w:rPr>
        <w:t xml:space="preserve"> </w:t>
      </w:r>
      <w:r w:rsidRPr="00E10A5D">
        <w:rPr>
          <w:rFonts w:hint="eastAsia"/>
          <w:rtl/>
        </w:rPr>
        <w:t>לרשויות</w:t>
      </w:r>
      <w:r w:rsidRPr="00E10A5D">
        <w:rPr>
          <w:rtl/>
        </w:rPr>
        <w:t xml:space="preserve"> </w:t>
      </w:r>
      <w:r w:rsidRPr="00E10A5D">
        <w:rPr>
          <w:rFonts w:hint="eastAsia"/>
          <w:rtl/>
        </w:rPr>
        <w:t>המס</w:t>
      </w:r>
      <w:r w:rsidRPr="00E10A5D">
        <w:rPr>
          <w:rtl/>
        </w:rPr>
        <w:t xml:space="preserve"> </w:t>
      </w:r>
      <w:r w:rsidRPr="00E10A5D">
        <w:rPr>
          <w:rFonts w:hint="eastAsia"/>
          <w:rtl/>
        </w:rPr>
        <w:t>של</w:t>
      </w:r>
      <w:r w:rsidRPr="00E10A5D">
        <w:rPr>
          <w:rtl/>
        </w:rPr>
        <w:t xml:space="preserve"> </w:t>
      </w:r>
      <w:r w:rsidRPr="00E10A5D">
        <w:rPr>
          <w:rFonts w:hint="eastAsia"/>
          <w:rtl/>
        </w:rPr>
        <w:t>המדינות</w:t>
      </w:r>
      <w:r w:rsidRPr="00E10A5D">
        <w:rPr>
          <w:rtl/>
        </w:rPr>
        <w:t xml:space="preserve"> </w:t>
      </w:r>
      <w:r w:rsidRPr="00E10A5D">
        <w:rPr>
          <w:rFonts w:hint="eastAsia"/>
          <w:rtl/>
        </w:rPr>
        <w:t>באופן</w:t>
      </w:r>
      <w:r w:rsidRPr="00E10A5D">
        <w:rPr>
          <w:rtl/>
        </w:rPr>
        <w:t xml:space="preserve"> </w:t>
      </w:r>
      <w:r w:rsidRPr="00E10A5D">
        <w:rPr>
          <w:rFonts w:hint="eastAsia"/>
          <w:rtl/>
        </w:rPr>
        <w:t>אוטומטי</w:t>
      </w:r>
      <w:r w:rsidRPr="00E10A5D">
        <w:rPr>
          <w:rFonts w:hint="cs"/>
          <w:rtl/>
        </w:rPr>
        <w:t>,</w:t>
      </w:r>
      <w:r w:rsidRPr="00E10A5D">
        <w:rPr>
          <w:rtl/>
        </w:rPr>
        <w:t xml:space="preserve"> בהתאם להסכם רשויות מוסמכות בנוגע ל- </w:t>
      </w:r>
      <w:r w:rsidRPr="00E10A5D">
        <w:t>CBC</w:t>
      </w:r>
      <w:r w:rsidRPr="00E10A5D">
        <w:rPr>
          <w:rtl/>
        </w:rPr>
        <w:t xml:space="preserve">. </w:t>
      </w:r>
      <w:r w:rsidRPr="00E10A5D">
        <w:rPr>
          <w:rFonts w:hint="cs"/>
          <w:rtl/>
        </w:rPr>
        <w:t xml:space="preserve">עם זאת, במספר מקרים התלויים בהסכמים בינלאומיים ובהסכמי רשויות מסומכות, </w:t>
      </w:r>
      <w:r w:rsidRPr="00E10A5D">
        <w:rPr>
          <w:rtl/>
        </w:rPr>
        <w:t xml:space="preserve">ידרשו </w:t>
      </w:r>
      <w:r w:rsidRPr="00E10A5D">
        <w:rPr>
          <w:rFonts w:hint="eastAsia"/>
          <w:rtl/>
        </w:rPr>
        <w:t>דוחות</w:t>
      </w:r>
      <w:r w:rsidRPr="00E10A5D">
        <w:rPr>
          <w:rtl/>
        </w:rPr>
        <w:t xml:space="preserve"> </w:t>
      </w:r>
      <w:r w:rsidRPr="00E10A5D">
        <w:t>CBC</w:t>
      </w:r>
      <w:r w:rsidRPr="00E10A5D">
        <w:rPr>
          <w:rtl/>
        </w:rPr>
        <w:t xml:space="preserve"> גם מחברות שאינן חברות האם הסופיות</w:t>
      </w:r>
      <w:r w:rsidRPr="00E10A5D">
        <w:rPr>
          <w:rFonts w:hint="cs"/>
          <w:rtl/>
        </w:rPr>
        <w:t xml:space="preserve">, ועל כן מוצע להגדיר הסכמים מסוג זה. </w:t>
      </w:r>
    </w:p>
    <w:p w14:paraId="75637297" w14:textId="77777777" w:rsidR="000C30A6" w:rsidRPr="00E10A5D" w:rsidRDefault="000C30A6" w:rsidP="00E10A5D">
      <w:pPr>
        <w:pStyle w:val="Hesber"/>
        <w:rPr>
          <w:rtl/>
        </w:rPr>
      </w:pPr>
    </w:p>
    <w:p w14:paraId="032FF57C" w14:textId="77777777" w:rsidR="000C30A6" w:rsidRPr="00E10A5D" w:rsidRDefault="000C30A6" w:rsidP="00E10A5D">
      <w:pPr>
        <w:pStyle w:val="Hesber"/>
        <w:rPr>
          <w:rtl/>
        </w:rPr>
      </w:pPr>
      <w:r w:rsidRPr="00E10A5D">
        <w:rPr>
          <w:rtl/>
        </w:rPr>
        <w:t xml:space="preserve">"הסכם </w:t>
      </w:r>
      <w:r w:rsidRPr="00E10A5D">
        <w:rPr>
          <w:rFonts w:hint="eastAsia"/>
          <w:rtl/>
        </w:rPr>
        <w:t>בין</w:t>
      </w:r>
      <w:r w:rsidRPr="00E10A5D">
        <w:rPr>
          <w:rtl/>
        </w:rPr>
        <w:t xml:space="preserve">-לאומי" </w:t>
      </w:r>
      <w:r w:rsidRPr="00E10A5D">
        <w:rPr>
          <w:rFonts w:hint="eastAsia"/>
          <w:rtl/>
        </w:rPr>
        <w:t>הוא</w:t>
      </w:r>
      <w:r w:rsidRPr="00E10A5D">
        <w:rPr>
          <w:rtl/>
        </w:rPr>
        <w:t xml:space="preserve"> </w:t>
      </w:r>
      <w:r w:rsidRPr="00E10A5D">
        <w:rPr>
          <w:rFonts w:hint="eastAsia"/>
          <w:rtl/>
        </w:rPr>
        <w:t>הסכם</w:t>
      </w:r>
      <w:r w:rsidRPr="00E10A5D">
        <w:rPr>
          <w:rtl/>
        </w:rPr>
        <w:t xml:space="preserve"> </w:t>
      </w:r>
      <w:r w:rsidRPr="00E10A5D">
        <w:rPr>
          <w:rFonts w:hint="eastAsia"/>
          <w:rtl/>
        </w:rPr>
        <w:t>בין</w:t>
      </w:r>
      <w:r w:rsidRPr="00E10A5D">
        <w:rPr>
          <w:rtl/>
        </w:rPr>
        <w:t xml:space="preserve"> </w:t>
      </w:r>
      <w:r w:rsidRPr="00E10A5D">
        <w:rPr>
          <w:rFonts w:hint="eastAsia"/>
          <w:rtl/>
        </w:rPr>
        <w:t>לאומי</w:t>
      </w:r>
      <w:r w:rsidRPr="00E10A5D">
        <w:rPr>
          <w:rtl/>
        </w:rPr>
        <w:t xml:space="preserve"> </w:t>
      </w:r>
      <w:r w:rsidRPr="00E10A5D">
        <w:rPr>
          <w:rFonts w:hint="eastAsia"/>
          <w:rtl/>
        </w:rPr>
        <w:t>כהגדרתו</w:t>
      </w:r>
      <w:r w:rsidRPr="00E10A5D">
        <w:rPr>
          <w:rtl/>
        </w:rPr>
        <w:t xml:space="preserve"> </w:t>
      </w:r>
      <w:r w:rsidRPr="00E10A5D">
        <w:rPr>
          <w:rFonts w:hint="eastAsia"/>
          <w:rtl/>
        </w:rPr>
        <w:t>מכוח</w:t>
      </w:r>
      <w:r w:rsidRPr="00E10A5D">
        <w:rPr>
          <w:rtl/>
        </w:rPr>
        <w:t xml:space="preserve"> </w:t>
      </w:r>
      <w:r w:rsidRPr="00E10A5D">
        <w:rPr>
          <w:rFonts w:hint="eastAsia"/>
          <w:rtl/>
        </w:rPr>
        <w:t>סעיף</w:t>
      </w:r>
      <w:r w:rsidRPr="00E10A5D">
        <w:rPr>
          <w:rtl/>
        </w:rPr>
        <w:t xml:space="preserve"> 214א </w:t>
      </w:r>
      <w:r w:rsidRPr="00E10A5D">
        <w:rPr>
          <w:rFonts w:hint="eastAsia"/>
          <w:rtl/>
        </w:rPr>
        <w:t>לפקודה</w:t>
      </w:r>
      <w:r w:rsidRPr="00E10A5D">
        <w:rPr>
          <w:rFonts w:hint="cs"/>
          <w:rtl/>
        </w:rPr>
        <w:t>, לרבות</w:t>
      </w:r>
      <w:r w:rsidRPr="00E10A5D">
        <w:rPr>
          <w:rtl/>
        </w:rPr>
        <w:t xml:space="preserve"> </w:t>
      </w:r>
      <w:r w:rsidRPr="00E10A5D">
        <w:rPr>
          <w:rFonts w:hint="eastAsia"/>
          <w:rtl/>
        </w:rPr>
        <w:t>הסכם</w:t>
      </w:r>
      <w:r w:rsidRPr="00E10A5D">
        <w:rPr>
          <w:rtl/>
        </w:rPr>
        <w:t xml:space="preserve"> </w:t>
      </w:r>
      <w:r w:rsidRPr="00E10A5D">
        <w:rPr>
          <w:rFonts w:hint="eastAsia"/>
          <w:rtl/>
        </w:rPr>
        <w:t>לחילופי</w:t>
      </w:r>
      <w:r w:rsidRPr="00E10A5D">
        <w:rPr>
          <w:rtl/>
        </w:rPr>
        <w:t xml:space="preserve"> </w:t>
      </w:r>
      <w:r w:rsidRPr="00E10A5D">
        <w:rPr>
          <w:rFonts w:hint="eastAsia"/>
          <w:rtl/>
        </w:rPr>
        <w:t>מידע</w:t>
      </w:r>
      <w:r w:rsidRPr="00E10A5D">
        <w:rPr>
          <w:rtl/>
        </w:rPr>
        <w:t xml:space="preserve">.  </w:t>
      </w:r>
    </w:p>
    <w:p w14:paraId="61E93571" w14:textId="77777777" w:rsidR="000C30A6" w:rsidRPr="00E10A5D" w:rsidRDefault="000C30A6" w:rsidP="00E10A5D">
      <w:pPr>
        <w:pStyle w:val="Hesber"/>
        <w:rPr>
          <w:rtl/>
        </w:rPr>
      </w:pPr>
      <w:r w:rsidRPr="00E10A5D">
        <w:rPr>
          <w:rtl/>
        </w:rPr>
        <w:t>"הסכם רשויות מוסמכות" – הסכם בין נציגים מוסמכים של מדינות לחילופי המידע הנדרש בסעיף 85ג לפקודה באופן אוטומטי.</w:t>
      </w:r>
    </w:p>
    <w:p w14:paraId="4AB40E03" w14:textId="77777777" w:rsidR="000C30A6" w:rsidRPr="00E10A5D" w:rsidRDefault="000C30A6" w:rsidP="00E10A5D">
      <w:pPr>
        <w:pStyle w:val="Hesber"/>
        <w:rPr>
          <w:rtl/>
        </w:rPr>
      </w:pPr>
    </w:p>
    <w:p w14:paraId="788A7163" w14:textId="77777777" w:rsidR="000C30A6" w:rsidRPr="00E10A5D" w:rsidRDefault="000C30A6" w:rsidP="00E10A5D">
      <w:pPr>
        <w:pStyle w:val="Hesber"/>
        <w:rPr>
          <w:rtl/>
        </w:rPr>
      </w:pPr>
      <w:r w:rsidRPr="00E10A5D">
        <w:rPr>
          <w:rFonts w:hint="cs"/>
          <w:b/>
          <w:bCs/>
          <w:rtl/>
        </w:rPr>
        <w:t>לתקנה 2-</w:t>
      </w:r>
      <w:r w:rsidRPr="00E10A5D">
        <w:rPr>
          <w:rFonts w:hint="cs"/>
          <w:rtl/>
        </w:rPr>
        <w:t xml:space="preserve">  תקנה 5 לתקנות העיקריות קובעת את חובות התיעוד והדיווח החלים לגבי עסקה בין לאומית, בין צדדים המקיימים ביניהם יחסים מיוחדים. בעוד ש</w:t>
      </w:r>
      <w:r w:rsidRPr="00E10A5D">
        <w:rPr>
          <w:rtl/>
        </w:rPr>
        <w:t xml:space="preserve">סעיף 85א </w:t>
      </w:r>
      <w:r w:rsidRPr="00E10A5D">
        <w:rPr>
          <w:rFonts w:hint="cs"/>
          <w:rtl/>
        </w:rPr>
        <w:t xml:space="preserve">לפקודה </w:t>
      </w:r>
      <w:r w:rsidRPr="00E10A5D">
        <w:rPr>
          <w:rtl/>
        </w:rPr>
        <w:t xml:space="preserve">קובע שעסקה במחירי </w:t>
      </w:r>
      <w:r w:rsidRPr="00E10A5D">
        <w:rPr>
          <w:rtl/>
        </w:rPr>
        <w:lastRenderedPageBreak/>
        <w:t>העברה תדווח ב</w:t>
      </w:r>
      <w:r w:rsidRPr="00E10A5D">
        <w:rPr>
          <w:rFonts w:hint="cs"/>
          <w:rtl/>
        </w:rPr>
        <w:t xml:space="preserve">תנאי </w:t>
      </w:r>
      <w:r w:rsidRPr="00E10A5D">
        <w:rPr>
          <w:rtl/>
        </w:rPr>
        <w:t>השוק</w:t>
      </w:r>
      <w:r w:rsidRPr="00E10A5D">
        <w:rPr>
          <w:rFonts w:hint="cs"/>
          <w:rtl/>
        </w:rPr>
        <w:t>, המועדים בהם מחויב נישום לעמוד בחובות התיעוד נקבעו באופן מפורש, אך ורק בהתייחס לדרישתו של פקיד השומה ולא מעבר כך. עם זאת, עצם חובת הדיווח בהתאם לתנאי השוק מלמדת על כך שיש להמציא את המסמכים הנדרשים עוד לפני קבלתה של דרישה זו.  מוצע לתקן את הכותרת והרישא, כך שיהיה ברור שהתיעוד והכנת כלל המסמכים ייעשו באופן שוטף, ועל מנת לוודא כי הנישום מכין את המסמכים ועורך את המחקר לפני שהוא קובע את מחיר העסקה לצרכי מס, ולא בדיעבד כדי להצדיק את קביעתו המקורית.</w:t>
      </w:r>
    </w:p>
    <w:p w14:paraId="722CDD2C" w14:textId="77777777" w:rsidR="000C30A6" w:rsidRPr="00E10A5D" w:rsidRDefault="000C30A6" w:rsidP="00E10A5D">
      <w:pPr>
        <w:pStyle w:val="Hesber"/>
        <w:rPr>
          <w:rtl/>
        </w:rPr>
      </w:pPr>
      <w:r w:rsidRPr="00E10A5D">
        <w:rPr>
          <w:rFonts w:hint="cs"/>
          <w:rtl/>
        </w:rPr>
        <w:t>עוד מוצע להוסיף לתקנת משנה (א) סעיפים שונים המפרטים דרישות נוספות שעל הנישום להגיש בהתאם ל-</w:t>
      </w:r>
      <w:r w:rsidRPr="00E10A5D">
        <w:t>local file</w:t>
      </w:r>
      <w:r w:rsidRPr="00E10A5D">
        <w:rPr>
          <w:rFonts w:hint="cs"/>
          <w:rtl/>
        </w:rPr>
        <w:t xml:space="preserve"> </w:t>
      </w:r>
      <w:proofErr w:type="spellStart"/>
      <w:r w:rsidRPr="00E10A5D">
        <w:rPr>
          <w:rFonts w:hint="cs"/>
          <w:rtl/>
        </w:rPr>
        <w:t>בתכנית</w:t>
      </w:r>
      <w:proofErr w:type="spellEnd"/>
      <w:r w:rsidRPr="00E10A5D">
        <w:rPr>
          <w:rFonts w:hint="cs"/>
          <w:rtl/>
        </w:rPr>
        <w:t xml:space="preserve"> פעולה 13, לרבות תיאור המבנה הארגוני של הנישום, סכומי עסקאות שבוצעו, הרקע לביצוען </w:t>
      </w:r>
      <w:r w:rsidRPr="00E10A5D">
        <w:rPr>
          <w:rFonts w:hint="eastAsia"/>
          <w:rtl/>
        </w:rPr>
        <w:t>ונימוקים</w:t>
      </w:r>
      <w:r w:rsidRPr="00E10A5D">
        <w:rPr>
          <w:rtl/>
        </w:rPr>
        <w:t xml:space="preserve"> </w:t>
      </w:r>
      <w:r w:rsidRPr="00E10A5D">
        <w:rPr>
          <w:rFonts w:hint="eastAsia"/>
          <w:rtl/>
        </w:rPr>
        <w:t>לקביעה</w:t>
      </w:r>
      <w:r w:rsidRPr="00E10A5D">
        <w:rPr>
          <w:rtl/>
        </w:rPr>
        <w:t xml:space="preserve"> </w:t>
      </w:r>
      <w:r w:rsidRPr="00E10A5D">
        <w:rPr>
          <w:rFonts w:hint="eastAsia"/>
          <w:rtl/>
        </w:rPr>
        <w:t>שמדובר</w:t>
      </w:r>
      <w:r w:rsidRPr="00E10A5D">
        <w:rPr>
          <w:rtl/>
        </w:rPr>
        <w:t xml:space="preserve"> </w:t>
      </w:r>
      <w:r w:rsidRPr="00E10A5D">
        <w:rPr>
          <w:rFonts w:hint="eastAsia"/>
          <w:rtl/>
        </w:rPr>
        <w:t>במחיר</w:t>
      </w:r>
      <w:r w:rsidRPr="00E10A5D">
        <w:rPr>
          <w:rtl/>
        </w:rPr>
        <w:t xml:space="preserve"> </w:t>
      </w:r>
      <w:r w:rsidRPr="00E10A5D">
        <w:rPr>
          <w:rFonts w:hint="eastAsia"/>
          <w:rtl/>
        </w:rPr>
        <w:t>השוק</w:t>
      </w:r>
      <w:r w:rsidRPr="00E10A5D">
        <w:rPr>
          <w:rtl/>
        </w:rPr>
        <w:t>.</w:t>
      </w:r>
    </w:p>
    <w:p w14:paraId="3E2DC4B7" w14:textId="77777777" w:rsidR="000C30A6" w:rsidRPr="00E10A5D" w:rsidRDefault="000C30A6" w:rsidP="00E10A5D">
      <w:pPr>
        <w:pStyle w:val="Hesber"/>
        <w:rPr>
          <w:rtl/>
        </w:rPr>
      </w:pPr>
      <w:r w:rsidRPr="00E10A5D">
        <w:rPr>
          <w:rFonts w:hint="cs"/>
          <w:rtl/>
        </w:rPr>
        <w:t>פסקה (10) אותה מוצע להוסיף, כוללת דרישה לתיעוד מידע הנדרש ב-</w:t>
      </w:r>
      <w:r w:rsidRPr="00E10A5D">
        <w:t>master file</w:t>
      </w:r>
      <w:r w:rsidRPr="00E10A5D">
        <w:rPr>
          <w:rFonts w:hint="cs"/>
          <w:rtl/>
        </w:rPr>
        <w:t xml:space="preserve">, ובו נתונים הרלוונטיים לקבוצה הרב לאומית שהנישום שייך אליה. </w:t>
      </w:r>
    </w:p>
    <w:p w14:paraId="7CE07153" w14:textId="77777777" w:rsidR="000C30A6" w:rsidRPr="00E10A5D" w:rsidRDefault="000C30A6" w:rsidP="00E10A5D">
      <w:pPr>
        <w:pStyle w:val="Hesber"/>
        <w:rPr>
          <w:rtl/>
        </w:rPr>
      </w:pPr>
      <w:r w:rsidRPr="00E10A5D">
        <w:rPr>
          <w:rFonts w:hint="cs"/>
          <w:rtl/>
        </w:rPr>
        <w:t>במקביל מוצע לתקן את תקנת משנה 5(ד) ולהוסיף ל</w:t>
      </w:r>
      <w:r w:rsidRPr="00E10A5D">
        <w:rPr>
          <w:rtl/>
        </w:rPr>
        <w:t xml:space="preserve">דיווח </w:t>
      </w:r>
      <w:r w:rsidRPr="00E10A5D">
        <w:rPr>
          <w:rFonts w:hint="cs"/>
          <w:rtl/>
        </w:rPr>
        <w:t xml:space="preserve">הנדרש בה פרטים על כך </w:t>
      </w:r>
      <w:r w:rsidRPr="00E10A5D">
        <w:rPr>
          <w:rtl/>
        </w:rPr>
        <w:t>שהנישום הוא חלק מקבוצה רב לאומית</w:t>
      </w:r>
      <w:r w:rsidRPr="00E10A5D">
        <w:rPr>
          <w:rFonts w:hint="cs"/>
          <w:rtl/>
        </w:rPr>
        <w:t xml:space="preserve"> וכן</w:t>
      </w:r>
      <w:r w:rsidRPr="00E10A5D">
        <w:rPr>
          <w:rtl/>
        </w:rPr>
        <w:t xml:space="preserve"> </w:t>
      </w:r>
      <w:r w:rsidRPr="00E10A5D">
        <w:rPr>
          <w:rFonts w:hint="cs"/>
          <w:rtl/>
        </w:rPr>
        <w:t xml:space="preserve">פרטים על </w:t>
      </w:r>
      <w:r w:rsidRPr="00E10A5D">
        <w:rPr>
          <w:rtl/>
        </w:rPr>
        <w:t>ישות האם הסופית של הקבוצה</w:t>
      </w:r>
      <w:r w:rsidRPr="00E10A5D">
        <w:rPr>
          <w:rFonts w:hint="cs"/>
          <w:rtl/>
        </w:rPr>
        <w:t xml:space="preserve">, </w:t>
      </w:r>
      <w:r w:rsidRPr="00E10A5D">
        <w:rPr>
          <w:rtl/>
        </w:rPr>
        <w:t>על המחזור המאוחד של הקבוצה</w:t>
      </w:r>
      <w:r w:rsidRPr="00E10A5D">
        <w:rPr>
          <w:rFonts w:hint="cs"/>
          <w:rtl/>
        </w:rPr>
        <w:t xml:space="preserve"> </w:t>
      </w:r>
      <w:r w:rsidRPr="00E10A5D">
        <w:rPr>
          <w:rFonts w:hint="eastAsia"/>
          <w:rtl/>
        </w:rPr>
        <w:t>ואודות</w:t>
      </w:r>
      <w:r w:rsidRPr="00E10A5D">
        <w:rPr>
          <w:rFonts w:hint="cs"/>
          <w:rtl/>
        </w:rPr>
        <w:t xml:space="preserve"> </w:t>
      </w:r>
      <w:r w:rsidRPr="00E10A5D">
        <w:rPr>
          <w:rFonts w:hint="eastAsia"/>
          <w:rtl/>
        </w:rPr>
        <w:t>חובת</w:t>
      </w:r>
      <w:r w:rsidRPr="00E10A5D">
        <w:rPr>
          <w:rtl/>
        </w:rPr>
        <w:t xml:space="preserve"> </w:t>
      </w:r>
      <w:r w:rsidRPr="00E10A5D">
        <w:rPr>
          <w:rFonts w:hint="cs"/>
          <w:rtl/>
        </w:rPr>
        <w:t xml:space="preserve">הגשת </w:t>
      </w:r>
      <w:r w:rsidRPr="00E10A5D">
        <w:rPr>
          <w:rFonts w:hint="cs"/>
        </w:rPr>
        <w:t>CBC</w:t>
      </w:r>
      <w:r w:rsidRPr="00E10A5D">
        <w:rPr>
          <w:rtl/>
        </w:rPr>
        <w:t xml:space="preserve"> </w:t>
      </w:r>
      <w:r w:rsidRPr="00E10A5D">
        <w:rPr>
          <w:rFonts w:hint="eastAsia"/>
          <w:rtl/>
        </w:rPr>
        <w:t>עבור</w:t>
      </w:r>
      <w:r w:rsidRPr="00E10A5D">
        <w:rPr>
          <w:rtl/>
        </w:rPr>
        <w:t xml:space="preserve"> </w:t>
      </w:r>
      <w:r w:rsidRPr="00E10A5D">
        <w:rPr>
          <w:rFonts w:hint="eastAsia"/>
          <w:rtl/>
        </w:rPr>
        <w:t>ה</w:t>
      </w:r>
      <w:r w:rsidRPr="00E10A5D">
        <w:rPr>
          <w:rFonts w:hint="cs"/>
          <w:rtl/>
        </w:rPr>
        <w:t xml:space="preserve">קבוצה. </w:t>
      </w:r>
    </w:p>
    <w:p w14:paraId="49687CFB" w14:textId="77777777" w:rsidR="000C30A6" w:rsidRPr="00E10A5D" w:rsidRDefault="000C30A6" w:rsidP="00E10A5D">
      <w:pPr>
        <w:pStyle w:val="Hesber"/>
        <w:rPr>
          <w:rtl/>
        </w:rPr>
      </w:pPr>
    </w:p>
    <w:p w14:paraId="488F7E87" w14:textId="77777777" w:rsidR="000C30A6" w:rsidRPr="00E10A5D" w:rsidRDefault="000C30A6" w:rsidP="00E10A5D">
      <w:pPr>
        <w:pStyle w:val="Hesber"/>
        <w:rPr>
          <w:rtl/>
        </w:rPr>
      </w:pPr>
      <w:r w:rsidRPr="00E10A5D">
        <w:rPr>
          <w:rFonts w:hint="cs"/>
          <w:b/>
          <w:bCs/>
          <w:rtl/>
        </w:rPr>
        <w:t xml:space="preserve">לתקנה 3 </w:t>
      </w:r>
      <w:r w:rsidRPr="00E10A5D">
        <w:rPr>
          <w:rtl/>
        </w:rPr>
        <w:t>–</w:t>
      </w:r>
      <w:r w:rsidRPr="00E10A5D">
        <w:rPr>
          <w:rFonts w:hint="cs"/>
          <w:rtl/>
        </w:rPr>
        <w:t xml:space="preserve">  מוצע לקבוע בתקנה 5א כללים להסדרת דיווח ה-</w:t>
      </w:r>
      <w:r w:rsidRPr="00E10A5D">
        <w:t>CBC</w:t>
      </w:r>
      <w:r w:rsidRPr="00E10A5D">
        <w:rPr>
          <w:rFonts w:hint="cs"/>
          <w:rtl/>
        </w:rPr>
        <w:t>, שאותו, כאמור, מגישות רק ישויות רב לאומיות בקבוצות בעלות מחזור עסקאות גבוה במיוחד. הדיווח מוגש ככלל, רק במדינת המקור של ישות האם הסופית והוא יועבר בין מדינ</w:t>
      </w:r>
      <w:r w:rsidR="001868F1" w:rsidRPr="00E10A5D">
        <w:rPr>
          <w:rFonts w:hint="cs"/>
          <w:rtl/>
        </w:rPr>
        <w:t>ות שיש ביניהן הסכם רשויות מוסמכות</w:t>
      </w:r>
      <w:r w:rsidRPr="00E10A5D">
        <w:rPr>
          <w:rFonts w:hint="cs"/>
          <w:rtl/>
        </w:rPr>
        <w:t xml:space="preserve">. לפיכך, הדרישה המוצעת בתקנות היא לקבלת הדיווח רק מישות האם סופית שמושבה בישראל. הדיווח יעשה על פי הטופס הכלול בתוספת. מוצע לקבוע כי מנהל רשות </w:t>
      </w:r>
      <w:proofErr w:type="spellStart"/>
      <w:r w:rsidRPr="00E10A5D">
        <w:rPr>
          <w:rFonts w:hint="cs"/>
          <w:rtl/>
        </w:rPr>
        <w:t>המסים</w:t>
      </w:r>
      <w:proofErr w:type="spellEnd"/>
      <w:r w:rsidRPr="00E10A5D">
        <w:rPr>
          <w:rFonts w:hint="cs"/>
          <w:rtl/>
        </w:rPr>
        <w:t xml:space="preserve"> יהיה רשאי לתקן את הטופס האמור, במידה ומבנה דיווח ה-</w:t>
      </w:r>
      <w:r w:rsidRPr="00E10A5D">
        <w:rPr>
          <w:rFonts w:hint="cs"/>
        </w:rPr>
        <w:t>CBC</w:t>
      </w:r>
      <w:r w:rsidRPr="00E10A5D">
        <w:rPr>
          <w:rFonts w:hint="cs"/>
          <w:rtl/>
        </w:rPr>
        <w:t xml:space="preserve"> הנ</w:t>
      </w:r>
      <w:r w:rsidR="006F7E8C" w:rsidRPr="00E10A5D">
        <w:rPr>
          <w:rFonts w:hint="cs"/>
          <w:rtl/>
        </w:rPr>
        <w:t>דרש על פי התחייבויות בינלאומיות</w:t>
      </w:r>
      <w:r w:rsidRPr="00E10A5D">
        <w:rPr>
          <w:rFonts w:hint="cs"/>
          <w:rtl/>
        </w:rPr>
        <w:t xml:space="preserve"> ישתנה. </w:t>
      </w:r>
    </w:p>
    <w:p w14:paraId="43F5D69C" w14:textId="77777777" w:rsidR="000C30A6" w:rsidRDefault="000C30A6" w:rsidP="000C30A6">
      <w:pPr>
        <w:pStyle w:val="Hesber1st"/>
        <w:rPr>
          <w:rtl/>
        </w:rPr>
      </w:pPr>
    </w:p>
    <w:p w14:paraId="49370925" w14:textId="77777777" w:rsidR="000C30A6" w:rsidRPr="00E10A5D" w:rsidRDefault="000C30A6" w:rsidP="00E10A5D">
      <w:pPr>
        <w:pStyle w:val="Hesber"/>
        <w:rPr>
          <w:rtl/>
        </w:rPr>
      </w:pPr>
      <w:r w:rsidRPr="000937EE">
        <w:rPr>
          <w:rFonts w:hint="cs"/>
          <w:b/>
          <w:bCs/>
          <w:rtl/>
        </w:rPr>
        <w:t>לתקנת</w:t>
      </w:r>
      <w:r w:rsidRPr="000937EE">
        <w:rPr>
          <w:b/>
          <w:bCs/>
          <w:rtl/>
        </w:rPr>
        <w:t xml:space="preserve"> משנה 5א(ב) </w:t>
      </w:r>
      <w:r w:rsidRPr="00E10A5D">
        <w:rPr>
          <w:rtl/>
        </w:rPr>
        <w:t>–</w:t>
      </w:r>
      <w:r w:rsidRPr="00E10A5D">
        <w:rPr>
          <w:rFonts w:hint="cs"/>
          <w:rtl/>
        </w:rPr>
        <w:t xml:space="preserve"> מוצע לקבוע, בהתאם </w:t>
      </w:r>
      <w:proofErr w:type="spellStart"/>
      <w:r w:rsidRPr="00E10A5D">
        <w:rPr>
          <w:rFonts w:hint="cs"/>
          <w:rtl/>
        </w:rPr>
        <w:t>לתכנית</w:t>
      </w:r>
      <w:proofErr w:type="spellEnd"/>
      <w:r w:rsidRPr="00E10A5D">
        <w:rPr>
          <w:rFonts w:hint="cs"/>
          <w:rtl/>
        </w:rPr>
        <w:t xml:space="preserve"> פ</w:t>
      </w:r>
      <w:r w:rsidR="00C43AE3" w:rsidRPr="00E10A5D">
        <w:rPr>
          <w:rFonts w:hint="cs"/>
          <w:rtl/>
        </w:rPr>
        <w:t>עולה 13, כי ניתן יהיה לאשר לקבוצה</w:t>
      </w:r>
      <w:r w:rsidRPr="00E10A5D">
        <w:rPr>
          <w:rFonts w:hint="cs"/>
          <w:rtl/>
        </w:rPr>
        <w:t xml:space="preserve"> רב לאומית שישות האם הסופית שלה בישראל, לא להגיש את ה-</w:t>
      </w:r>
      <w:r w:rsidRPr="00E10A5D">
        <w:rPr>
          <w:rFonts w:hint="cs"/>
        </w:rPr>
        <w:t>CBC</w:t>
      </w:r>
      <w:r w:rsidRPr="00E10A5D">
        <w:rPr>
          <w:rFonts w:hint="cs"/>
          <w:rtl/>
        </w:rPr>
        <w:t xml:space="preserve"> בישראל,  וזאת אם ישות אחרת בקבוצה שמושבה במדינה אחרת תגיש את הדיווח באותה המדינה, וישראל תקבל את המידע מכוח הסכם לחילופי מידע עם מדינת התושבות של ישות האם החלופית.</w:t>
      </w:r>
    </w:p>
    <w:p w14:paraId="5F66AE8D" w14:textId="77777777" w:rsidR="000C30A6" w:rsidRPr="00E10A5D" w:rsidRDefault="000C30A6" w:rsidP="00E10A5D">
      <w:pPr>
        <w:pStyle w:val="Hesber"/>
        <w:rPr>
          <w:rtl/>
        </w:rPr>
      </w:pPr>
    </w:p>
    <w:p w14:paraId="01433676" w14:textId="77777777" w:rsidR="000C30A6" w:rsidRPr="00E10A5D" w:rsidRDefault="000C30A6" w:rsidP="00E10A5D">
      <w:pPr>
        <w:pStyle w:val="Hesber"/>
        <w:rPr>
          <w:rtl/>
        </w:rPr>
      </w:pPr>
      <w:r w:rsidRPr="000937EE">
        <w:rPr>
          <w:rFonts w:hint="cs"/>
          <w:b/>
          <w:bCs/>
          <w:rtl/>
        </w:rPr>
        <w:t>לתקנת</w:t>
      </w:r>
      <w:r w:rsidRPr="000937EE">
        <w:rPr>
          <w:b/>
          <w:bCs/>
          <w:rtl/>
        </w:rPr>
        <w:t xml:space="preserve"> משנה 5א(ג) </w:t>
      </w:r>
      <w:r w:rsidRPr="00E10A5D">
        <w:rPr>
          <w:rFonts w:hint="cs"/>
          <w:rtl/>
        </w:rPr>
        <w:t xml:space="preserve">-  מוצע לקבוע כי ישות בקבוצה רב לאומית תחויב להגיש דיווח </w:t>
      </w:r>
      <w:r w:rsidRPr="00E10A5D">
        <w:rPr>
          <w:rFonts w:hint="cs"/>
        </w:rPr>
        <w:t>CBC</w:t>
      </w:r>
      <w:r w:rsidRPr="00E10A5D">
        <w:rPr>
          <w:rFonts w:hint="cs"/>
          <w:rtl/>
        </w:rPr>
        <w:t xml:space="preserve"> בישראל אף אם היא לא ישות האם הסופית בקבוצה, במקרה בו ישות האם הסופית לא חייבת להגיש דיווח במדינה זרה או במקרה בו מדינת ישראל לא תקבל את הדיווח מהמדינה הזרה, בניגוד לתנאי ההסכם עמה.</w:t>
      </w:r>
    </w:p>
    <w:sectPr w:rsidR="000C30A6" w:rsidRPr="00E10A5D" w:rsidSect="004D5814">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B6591" w14:textId="77777777" w:rsidR="00224552" w:rsidRDefault="00224552" w:rsidP="00865F85">
      <w:pPr>
        <w:spacing w:line="240" w:lineRule="auto"/>
      </w:pPr>
      <w:r>
        <w:separator/>
      </w:r>
    </w:p>
  </w:endnote>
  <w:endnote w:type="continuationSeparator" w:id="0">
    <w:p w14:paraId="6F041A79" w14:textId="77777777" w:rsidR="00224552" w:rsidRDefault="00224552" w:rsidP="00865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3EBA8" w14:textId="77777777" w:rsidR="00224552" w:rsidRDefault="00224552" w:rsidP="00865F85">
      <w:pPr>
        <w:spacing w:line="240" w:lineRule="auto"/>
        <w:ind w:left="0"/>
      </w:pPr>
      <w:r>
        <w:separator/>
      </w:r>
    </w:p>
  </w:footnote>
  <w:footnote w:type="continuationSeparator" w:id="0">
    <w:p w14:paraId="1E0DC95D" w14:textId="77777777" w:rsidR="00224552" w:rsidRDefault="00224552" w:rsidP="00865F85">
      <w:pPr>
        <w:spacing w:line="240" w:lineRule="auto"/>
      </w:pPr>
      <w:r>
        <w:continuationSeparator/>
      </w:r>
    </w:p>
  </w:footnote>
  <w:footnote w:id="1">
    <w:p w14:paraId="3C967ED8" w14:textId="77777777" w:rsidR="003055DA" w:rsidRDefault="003055DA">
      <w:pPr>
        <w:pStyle w:val="a5"/>
        <w:rPr>
          <w:rtl/>
        </w:rPr>
      </w:pPr>
      <w:r>
        <w:rPr>
          <w:rStyle w:val="a7"/>
        </w:rPr>
        <w:footnoteRef/>
      </w:r>
      <w:r>
        <w:rPr>
          <w:rtl/>
        </w:rPr>
        <w:t xml:space="preserve"> </w:t>
      </w:r>
      <w:r>
        <w:rPr>
          <w:rFonts w:hint="cs"/>
          <w:rtl/>
        </w:rPr>
        <w:t xml:space="preserve">דיני מדינת ישראל, נוסח חדש 6, עמ' 120. </w:t>
      </w:r>
    </w:p>
  </w:footnote>
  <w:footnote w:id="2">
    <w:p w14:paraId="748CEDAC" w14:textId="77777777" w:rsidR="003055DA" w:rsidRDefault="003055DA">
      <w:pPr>
        <w:pStyle w:val="a5"/>
      </w:pPr>
      <w:r>
        <w:rPr>
          <w:rStyle w:val="a7"/>
        </w:rPr>
        <w:footnoteRef/>
      </w:r>
      <w:r>
        <w:rPr>
          <w:rtl/>
        </w:rPr>
        <w:t xml:space="preserve"> </w:t>
      </w:r>
      <w:r>
        <w:rPr>
          <w:rFonts w:hint="cs"/>
          <w:rtl/>
        </w:rPr>
        <w:t>ק"ת התשס"ז, עמ' 338.</w:t>
      </w:r>
    </w:p>
  </w:footnote>
  <w:footnote w:id="3">
    <w:p w14:paraId="5D86CB14" w14:textId="77777777" w:rsidR="003055DA" w:rsidRPr="000E4132" w:rsidRDefault="003055DA" w:rsidP="000C30A6">
      <w:pPr>
        <w:pStyle w:val="a5"/>
        <w:rPr>
          <w:rtl/>
        </w:rPr>
      </w:pPr>
      <w:r>
        <w:rPr>
          <w:rStyle w:val="a7"/>
        </w:rPr>
        <w:footnoteRef/>
      </w:r>
      <w:r>
        <w:t xml:space="preserve"> </w:t>
      </w:r>
      <w:r>
        <w:tab/>
      </w:r>
      <w:r w:rsidRPr="000E4132">
        <w:t>Please specify the nature of the activity of the Constituent Entity in the “Additional Information” section.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CD564F"/>
    <w:multiLevelType w:val="hybridMultilevel"/>
    <w:tmpl w:val="C3E85642"/>
    <w:lvl w:ilvl="0" w:tplc="05EA48B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7D791C"/>
    <w:multiLevelType w:val="hybridMultilevel"/>
    <w:tmpl w:val="F57AE88E"/>
    <w:lvl w:ilvl="0" w:tplc="B7DC1B6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75656"/>
    <w:multiLevelType w:val="hybridMultilevel"/>
    <w:tmpl w:val="DA8EF8D4"/>
    <w:lvl w:ilvl="0" w:tplc="98D21B1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632FE"/>
    <w:multiLevelType w:val="hybridMultilevel"/>
    <w:tmpl w:val="093EF39A"/>
    <w:lvl w:ilvl="0" w:tplc="D8082D9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A26F9B"/>
    <w:multiLevelType w:val="hybridMultilevel"/>
    <w:tmpl w:val="3E3856A8"/>
    <w:lvl w:ilvl="0" w:tplc="3934CA5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1B1E1C"/>
    <w:multiLevelType w:val="hybridMultilevel"/>
    <w:tmpl w:val="833AC27A"/>
    <w:lvl w:ilvl="0" w:tplc="91C6F3B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CA4526"/>
    <w:multiLevelType w:val="hybridMultilevel"/>
    <w:tmpl w:val="094A9CC2"/>
    <w:lvl w:ilvl="0" w:tplc="2FCAA80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12840"/>
    <w:multiLevelType w:val="hybridMultilevel"/>
    <w:tmpl w:val="B9D0E530"/>
    <w:lvl w:ilvl="0" w:tplc="4E1019E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62010E3B"/>
    <w:multiLevelType w:val="hybridMultilevel"/>
    <w:tmpl w:val="A064AE28"/>
    <w:lvl w:ilvl="0" w:tplc="225EE82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F01FBB"/>
    <w:multiLevelType w:val="hybridMultilevel"/>
    <w:tmpl w:val="1B90E8AC"/>
    <w:lvl w:ilvl="0" w:tplc="4EFA5BC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9A3191"/>
    <w:multiLevelType w:val="hybridMultilevel"/>
    <w:tmpl w:val="C41E260A"/>
    <w:lvl w:ilvl="0" w:tplc="E66C75C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CD73F9"/>
    <w:multiLevelType w:val="hybridMultilevel"/>
    <w:tmpl w:val="8792927E"/>
    <w:lvl w:ilvl="0" w:tplc="26841358">
      <w:start w:val="1"/>
      <w:numFmt w:val="decimal"/>
      <w:lvlRestart w:val="0"/>
      <w:lvlText w:val="(%1)"/>
      <w:lvlJc w:val="left"/>
      <w:pPr>
        <w:tabs>
          <w:tab w:val="num" w:pos="624"/>
        </w:tabs>
        <w:ind w:left="0" w:firstLine="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4725DA"/>
    <w:multiLevelType w:val="hybridMultilevel"/>
    <w:tmpl w:val="BBA8C8F2"/>
    <w:lvl w:ilvl="0" w:tplc="0B24CB6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5"/>
  </w:num>
  <w:num w:numId="5">
    <w:abstractNumId w:val="12"/>
  </w:num>
  <w:num w:numId="6">
    <w:abstractNumId w:val="26"/>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20"/>
    <w:lvlOverride w:ilvl="0">
      <w:startOverride w:val="1"/>
    </w:lvlOverride>
  </w:num>
  <w:num w:numId="18">
    <w:abstractNumId w:val="11"/>
  </w:num>
  <w:num w:numId="19">
    <w:abstractNumId w:val="21"/>
  </w:num>
  <w:num w:numId="20">
    <w:abstractNumId w:val="17"/>
  </w:num>
  <w:num w:numId="21">
    <w:abstractNumId w:val="10"/>
  </w:num>
  <w:num w:numId="22">
    <w:abstractNumId w:val="23"/>
  </w:num>
  <w:num w:numId="23">
    <w:abstractNumId w:val="18"/>
  </w:num>
  <w:num w:numId="24">
    <w:abstractNumId w:val="14"/>
  </w:num>
  <w:num w:numId="25">
    <w:abstractNumId w:val="13"/>
  </w:num>
  <w:num w:numId="26">
    <w:abstractNumId w:val="16"/>
  </w:num>
  <w:num w:numId="27">
    <w:abstractNumId w:val="22"/>
  </w:num>
  <w:num w:numId="28">
    <w:abstractNumId w:val="24"/>
  </w:num>
  <w:num w:numId="29">
    <w:abstractNumId w:val="27"/>
  </w:num>
  <w:num w:numId="30">
    <w:abstractNumId w:val="15"/>
  </w:num>
  <w:num w:numId="31">
    <w:abstractNumId w:val="1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814"/>
    <w:rsid w:val="00047FD6"/>
    <w:rsid w:val="000935A0"/>
    <w:rsid w:val="000937EE"/>
    <w:rsid w:val="000C30A6"/>
    <w:rsid w:val="00155D8F"/>
    <w:rsid w:val="00160ACB"/>
    <w:rsid w:val="00177DDA"/>
    <w:rsid w:val="001868F1"/>
    <w:rsid w:val="001E000B"/>
    <w:rsid w:val="00224552"/>
    <w:rsid w:val="00254EA8"/>
    <w:rsid w:val="0025591A"/>
    <w:rsid w:val="00257F1E"/>
    <w:rsid w:val="00264D04"/>
    <w:rsid w:val="002E0141"/>
    <w:rsid w:val="002F2CE9"/>
    <w:rsid w:val="002F3AAA"/>
    <w:rsid w:val="003055DA"/>
    <w:rsid w:val="00307261"/>
    <w:rsid w:val="003347B7"/>
    <w:rsid w:val="0039388B"/>
    <w:rsid w:val="00404E30"/>
    <w:rsid w:val="0041772C"/>
    <w:rsid w:val="004220D6"/>
    <w:rsid w:val="00427873"/>
    <w:rsid w:val="00433F30"/>
    <w:rsid w:val="004462CC"/>
    <w:rsid w:val="0048195C"/>
    <w:rsid w:val="004974E5"/>
    <w:rsid w:val="004A29C9"/>
    <w:rsid w:val="004D5814"/>
    <w:rsid w:val="004E1FA9"/>
    <w:rsid w:val="005173AF"/>
    <w:rsid w:val="00536F77"/>
    <w:rsid w:val="00594F74"/>
    <w:rsid w:val="005A6DD6"/>
    <w:rsid w:val="005B0B59"/>
    <w:rsid w:val="005F01E7"/>
    <w:rsid w:val="00686943"/>
    <w:rsid w:val="006C35C3"/>
    <w:rsid w:val="006D0DFE"/>
    <w:rsid w:val="006D18D5"/>
    <w:rsid w:val="006F7E8C"/>
    <w:rsid w:val="00713015"/>
    <w:rsid w:val="00785901"/>
    <w:rsid w:val="008258D7"/>
    <w:rsid w:val="008537A6"/>
    <w:rsid w:val="00865F85"/>
    <w:rsid w:val="008F219A"/>
    <w:rsid w:val="009C2146"/>
    <w:rsid w:val="009D0307"/>
    <w:rsid w:val="00B2312D"/>
    <w:rsid w:val="00B620F6"/>
    <w:rsid w:val="00B85C20"/>
    <w:rsid w:val="00C3327F"/>
    <w:rsid w:val="00C43AE3"/>
    <w:rsid w:val="00C56A70"/>
    <w:rsid w:val="00CC1110"/>
    <w:rsid w:val="00CE0433"/>
    <w:rsid w:val="00D14847"/>
    <w:rsid w:val="00D60071"/>
    <w:rsid w:val="00D66B81"/>
    <w:rsid w:val="00DF05A4"/>
    <w:rsid w:val="00E10A5D"/>
    <w:rsid w:val="00E211A0"/>
    <w:rsid w:val="00E309B0"/>
    <w:rsid w:val="00E70C92"/>
    <w:rsid w:val="00E82742"/>
    <w:rsid w:val="00E82B22"/>
    <w:rsid w:val="00EE0AE3"/>
    <w:rsid w:val="00F96D69"/>
    <w:rsid w:val="00FA2993"/>
    <w:rsid w:val="00FB26AB"/>
    <w:rsid w:val="00FB6B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6F248"/>
  <w15:chartTrackingRefBased/>
  <w15:docId w15:val="{6AFA2D49-1CB5-4D94-9083-E57E2F4B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D8F"/>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155D8F"/>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155D8F"/>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155D8F"/>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155D8F"/>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155D8F"/>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155D8F"/>
    <w:rPr>
      <w:rFonts w:asciiTheme="majorHAnsi" w:eastAsiaTheme="majorEastAsia" w:hAnsiTheme="majorHAnsi" w:cs="David"/>
      <w:bCs/>
      <w:sz w:val="32"/>
      <w:szCs w:val="36"/>
    </w:rPr>
  </w:style>
  <w:style w:type="character" w:customStyle="1" w:styleId="40">
    <w:name w:val="כותרת 4 תו"/>
    <w:basedOn w:val="a0"/>
    <w:link w:val="4"/>
    <w:uiPriority w:val="9"/>
    <w:rsid w:val="00155D8F"/>
    <w:rPr>
      <w:rFonts w:ascii="David" w:hAnsi="David" w:cs="David"/>
      <w:b/>
      <w:bCs/>
      <w:color w:val="000000" w:themeColor="text1"/>
      <w:sz w:val="24"/>
      <w:szCs w:val="28"/>
    </w:rPr>
  </w:style>
  <w:style w:type="paragraph" w:customStyle="1" w:styleId="TableText">
    <w:name w:val="Table Text"/>
    <w:basedOn w:val="a"/>
    <w:rsid w:val="00155D8F"/>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155D8F"/>
    <w:pPr>
      <w:outlineLvl w:val="2"/>
    </w:pPr>
  </w:style>
  <w:style w:type="paragraph" w:customStyle="1" w:styleId="TableBlock">
    <w:name w:val="Table Block"/>
    <w:basedOn w:val="TableText"/>
    <w:rsid w:val="00155D8F"/>
    <w:pPr>
      <w:jc w:val="both"/>
    </w:pPr>
  </w:style>
  <w:style w:type="paragraph" w:customStyle="1" w:styleId="TableHead">
    <w:name w:val="Table Head"/>
    <w:basedOn w:val="TableText"/>
    <w:rsid w:val="00155D8F"/>
    <w:pPr>
      <w:jc w:val="center"/>
      <w:outlineLvl w:val="1"/>
    </w:pPr>
    <w:rPr>
      <w:b/>
      <w:bCs/>
    </w:rPr>
  </w:style>
  <w:style w:type="paragraph" w:customStyle="1" w:styleId="HeadMitparsemetBaze">
    <w:name w:val="Head MitparsemetBaze"/>
    <w:basedOn w:val="a"/>
    <w:rsid w:val="00155D8F"/>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155D8F"/>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155D8F"/>
    <w:pPr>
      <w:tabs>
        <w:tab w:val="left" w:pos="680"/>
        <w:tab w:val="left" w:pos="1020"/>
      </w:tabs>
      <w:ind w:firstLine="0"/>
    </w:pPr>
  </w:style>
  <w:style w:type="paragraph" w:customStyle="1" w:styleId="HeadDivreiHesber">
    <w:name w:val="Head DivreiHesber"/>
    <w:basedOn w:val="a"/>
    <w:rsid w:val="00155D8F"/>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155D8F"/>
    <w:rPr>
      <w:rFonts w:asciiTheme="majorHAnsi" w:eastAsiaTheme="majorEastAsia" w:hAnsiTheme="majorHAnsi" w:cs="David"/>
      <w:bCs/>
      <w:sz w:val="26"/>
      <w:szCs w:val="36"/>
      <w:u w:val="single"/>
    </w:rPr>
  </w:style>
  <w:style w:type="character" w:customStyle="1" w:styleId="30">
    <w:name w:val="כותרת 3 תו"/>
    <w:basedOn w:val="a0"/>
    <w:link w:val="3"/>
    <w:rsid w:val="00155D8F"/>
    <w:rPr>
      <w:rFonts w:asciiTheme="majorHAnsi" w:eastAsiaTheme="majorEastAsia" w:hAnsiTheme="majorHAnsi" w:cs="David"/>
      <w:sz w:val="24"/>
      <w:szCs w:val="28"/>
      <w:u w:val="double"/>
    </w:rPr>
  </w:style>
  <w:style w:type="character" w:customStyle="1" w:styleId="50">
    <w:name w:val="כותרת 5 תו"/>
    <w:basedOn w:val="a0"/>
    <w:link w:val="5"/>
    <w:uiPriority w:val="9"/>
    <w:rsid w:val="00155D8F"/>
    <w:rPr>
      <w:rFonts w:ascii="David" w:hAnsi="David" w:cs="David"/>
      <w:color w:val="000000" w:themeColor="text1"/>
      <w:sz w:val="24"/>
      <w:szCs w:val="24"/>
    </w:rPr>
  </w:style>
  <w:style w:type="paragraph" w:customStyle="1" w:styleId="HeadHatzaotHok4Futer">
    <w:name w:val="Head HatzaotHok4Futer"/>
    <w:basedOn w:val="HeadHatzaotHok"/>
    <w:rsid w:val="00155D8F"/>
    <w:pPr>
      <w:spacing w:before="120" w:after="120"/>
    </w:pPr>
    <w:rPr>
      <w:color w:val="FF0000"/>
      <w:w w:val="80"/>
    </w:rPr>
  </w:style>
  <w:style w:type="paragraph" w:styleId="a3">
    <w:name w:val="endnote text"/>
    <w:basedOn w:val="a"/>
    <w:link w:val="a4"/>
    <w:semiHidden/>
    <w:rsid w:val="00155D8F"/>
    <w:pPr>
      <w:ind w:left="227" w:hanging="227"/>
    </w:pPr>
    <w:rPr>
      <w:sz w:val="14"/>
      <w:szCs w:val="22"/>
    </w:rPr>
  </w:style>
  <w:style w:type="character" w:customStyle="1" w:styleId="a4">
    <w:name w:val="טקסט הערת סיום תו"/>
    <w:basedOn w:val="a0"/>
    <w:link w:val="a3"/>
    <w:semiHidden/>
    <w:rsid w:val="004D5814"/>
    <w:rPr>
      <w:rFonts w:ascii="David" w:hAnsi="David" w:cs="David"/>
      <w:sz w:val="14"/>
    </w:rPr>
  </w:style>
  <w:style w:type="paragraph" w:customStyle="1" w:styleId="TableInnerSideHeading">
    <w:name w:val="Table InnerSideHeading"/>
    <w:basedOn w:val="TableSideHeading"/>
    <w:rsid w:val="00155D8F"/>
    <w:pPr>
      <w:outlineLvl w:val="9"/>
    </w:pPr>
  </w:style>
  <w:style w:type="paragraph" w:customStyle="1" w:styleId="Hesber">
    <w:name w:val="Hesber"/>
    <w:basedOn w:val="a"/>
    <w:rsid w:val="00155D8F"/>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155D8F"/>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4D5814"/>
    <w:rPr>
      <w:rFonts w:ascii="Arial" w:eastAsia="Arial Unicode MS" w:hAnsi="Arial" w:cs="David"/>
      <w:snapToGrid w:val="0"/>
      <w:sz w:val="14"/>
      <w:szCs w:val="20"/>
    </w:rPr>
  </w:style>
  <w:style w:type="character" w:styleId="a7">
    <w:name w:val="footnote reference"/>
    <w:aliases w:val="Footnote Reference"/>
    <w:basedOn w:val="a0"/>
    <w:semiHidden/>
    <w:rsid w:val="00155D8F"/>
    <w:rPr>
      <w:vertAlign w:val="superscript"/>
    </w:rPr>
  </w:style>
  <w:style w:type="paragraph" w:customStyle="1" w:styleId="HesberHeading">
    <w:name w:val="Hesber Heading"/>
    <w:basedOn w:val="Hesber"/>
    <w:rsid w:val="00155D8F"/>
    <w:pPr>
      <w:tabs>
        <w:tab w:val="left" w:pos="624"/>
        <w:tab w:val="left" w:pos="1247"/>
      </w:tabs>
    </w:pPr>
    <w:rPr>
      <w:b/>
      <w:bCs/>
    </w:rPr>
  </w:style>
  <w:style w:type="paragraph" w:customStyle="1" w:styleId="HesberWriters">
    <w:name w:val="Hesber Writers"/>
    <w:basedOn w:val="Hesber"/>
    <w:rsid w:val="00155D8F"/>
    <w:pPr>
      <w:spacing w:before="120" w:after="120"/>
      <w:ind w:left="1418"/>
      <w:jc w:val="right"/>
    </w:pPr>
    <w:rPr>
      <w:b/>
      <w:bCs/>
    </w:rPr>
  </w:style>
  <w:style w:type="character" w:styleId="a8">
    <w:name w:val="endnote reference"/>
    <w:basedOn w:val="a0"/>
    <w:semiHidden/>
    <w:rsid w:val="00155D8F"/>
    <w:rPr>
      <w:vertAlign w:val="superscript"/>
    </w:rPr>
  </w:style>
  <w:style w:type="paragraph" w:customStyle="1" w:styleId="TableBlockOutdent">
    <w:name w:val="Table BlockOutdent"/>
    <w:basedOn w:val="TableBlock"/>
    <w:rsid w:val="00155D8F"/>
    <w:pPr>
      <w:ind w:left="624" w:hanging="624"/>
    </w:pPr>
  </w:style>
  <w:style w:type="paragraph" w:styleId="a9">
    <w:name w:val="header"/>
    <w:basedOn w:val="a"/>
    <w:link w:val="aa"/>
    <w:rsid w:val="00155D8F"/>
    <w:pPr>
      <w:tabs>
        <w:tab w:val="center" w:pos="4153"/>
        <w:tab w:val="right" w:pos="8306"/>
      </w:tabs>
    </w:pPr>
  </w:style>
  <w:style w:type="character" w:customStyle="1" w:styleId="aa">
    <w:name w:val="כותרת עליונה תו"/>
    <w:basedOn w:val="a0"/>
    <w:link w:val="a9"/>
    <w:rsid w:val="004D5814"/>
    <w:rPr>
      <w:rFonts w:ascii="David" w:hAnsi="David" w:cs="David"/>
      <w:sz w:val="24"/>
      <w:szCs w:val="24"/>
    </w:rPr>
  </w:style>
  <w:style w:type="paragraph" w:styleId="ab">
    <w:name w:val="footer"/>
    <w:basedOn w:val="a"/>
    <w:link w:val="ac"/>
    <w:rsid w:val="00155D8F"/>
    <w:pPr>
      <w:tabs>
        <w:tab w:val="center" w:pos="4153"/>
        <w:tab w:val="right" w:pos="8306"/>
      </w:tabs>
    </w:pPr>
  </w:style>
  <w:style w:type="character" w:customStyle="1" w:styleId="ac">
    <w:name w:val="כותרת תחתונה תו"/>
    <w:basedOn w:val="a0"/>
    <w:link w:val="ab"/>
    <w:rsid w:val="004D5814"/>
    <w:rPr>
      <w:rFonts w:ascii="David" w:hAnsi="David" w:cs="David"/>
      <w:sz w:val="24"/>
      <w:szCs w:val="24"/>
    </w:rPr>
  </w:style>
  <w:style w:type="character" w:styleId="ad">
    <w:name w:val="page number"/>
    <w:basedOn w:val="a0"/>
    <w:rsid w:val="00155D8F"/>
  </w:style>
  <w:style w:type="paragraph" w:customStyle="1" w:styleId="Cover1-Reshumot">
    <w:name w:val="Cover 1-Reshumot"/>
    <w:basedOn w:val="a"/>
    <w:rsid w:val="00155D8F"/>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155D8F"/>
    <w:rPr>
      <w:sz w:val="36"/>
      <w:szCs w:val="52"/>
    </w:rPr>
  </w:style>
  <w:style w:type="paragraph" w:customStyle="1" w:styleId="Cover3-Haknesset">
    <w:name w:val="Cover 3-Haknesset"/>
    <w:basedOn w:val="Cover1-Reshumot"/>
    <w:rsid w:val="00155D8F"/>
    <w:rPr>
      <w:b/>
      <w:bCs/>
      <w:spacing w:val="60"/>
    </w:rPr>
  </w:style>
  <w:style w:type="paragraph" w:customStyle="1" w:styleId="Cover4-Date">
    <w:name w:val="Cover 4-Date"/>
    <w:basedOn w:val="a"/>
    <w:rsid w:val="00155D8F"/>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155D8F"/>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155D8F"/>
    <w:pPr>
      <w:widowControl/>
      <w:spacing w:before="120" w:after="120"/>
      <w:outlineLvl w:val="9"/>
    </w:pPr>
    <w:rPr>
      <w:rtl/>
      <w:cs/>
    </w:rPr>
  </w:style>
  <w:style w:type="paragraph" w:styleId="TOC1">
    <w:name w:val="toc 1"/>
    <w:basedOn w:val="a"/>
    <w:next w:val="a"/>
    <w:autoRedefine/>
    <w:uiPriority w:val="39"/>
    <w:unhideWhenUsed/>
    <w:rsid w:val="00155D8F"/>
    <w:pPr>
      <w:tabs>
        <w:tab w:val="right" w:leader="dot" w:pos="9629"/>
      </w:tabs>
      <w:spacing w:after="100"/>
    </w:pPr>
    <w:rPr>
      <w:bCs/>
      <w:szCs w:val="22"/>
    </w:rPr>
  </w:style>
  <w:style w:type="paragraph" w:styleId="TOC2">
    <w:name w:val="toc 2"/>
    <w:basedOn w:val="a"/>
    <w:next w:val="a"/>
    <w:uiPriority w:val="39"/>
    <w:unhideWhenUsed/>
    <w:rsid w:val="00155D8F"/>
    <w:pPr>
      <w:tabs>
        <w:tab w:val="right" w:leader="dot" w:pos="9628"/>
      </w:tabs>
      <w:spacing w:after="100"/>
    </w:pPr>
    <w:rPr>
      <w:szCs w:val="22"/>
    </w:rPr>
  </w:style>
  <w:style w:type="character" w:styleId="Hyperlink">
    <w:name w:val="Hyperlink"/>
    <w:basedOn w:val="a0"/>
    <w:uiPriority w:val="99"/>
    <w:unhideWhenUsed/>
    <w:rsid w:val="00155D8F"/>
    <w:rPr>
      <w:color w:val="0563C1" w:themeColor="hyperlink"/>
      <w:u w:val="single"/>
    </w:rPr>
  </w:style>
  <w:style w:type="paragraph" w:styleId="TOC3">
    <w:name w:val="toc 3"/>
    <w:basedOn w:val="a"/>
    <w:next w:val="a"/>
    <w:uiPriority w:val="39"/>
    <w:unhideWhenUsed/>
    <w:rsid w:val="00155D8F"/>
    <w:pPr>
      <w:numPr>
        <w:numId w:val="19"/>
      </w:numPr>
      <w:tabs>
        <w:tab w:val="num" w:pos="360"/>
        <w:tab w:val="right" w:leader="dot" w:pos="9629"/>
      </w:tabs>
      <w:spacing w:after="100"/>
      <w:ind w:left="811" w:hanging="357"/>
    </w:pPr>
    <w:rPr>
      <w:szCs w:val="22"/>
    </w:rPr>
  </w:style>
  <w:style w:type="paragraph" w:styleId="TOC4">
    <w:name w:val="toc 4"/>
    <w:basedOn w:val="a"/>
    <w:next w:val="a"/>
    <w:autoRedefine/>
    <w:uiPriority w:val="39"/>
    <w:unhideWhenUsed/>
    <w:qFormat/>
    <w:rsid w:val="00155D8F"/>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155D8F"/>
    <w:pPr>
      <w:tabs>
        <w:tab w:val="right" w:leader="dot" w:pos="9628"/>
      </w:tabs>
      <w:spacing w:after="100"/>
      <w:ind w:left="567"/>
    </w:pPr>
    <w:rPr>
      <w:szCs w:val="22"/>
    </w:rPr>
  </w:style>
  <w:style w:type="paragraph" w:styleId="TOC6">
    <w:name w:val="toc 6"/>
    <w:basedOn w:val="a"/>
    <w:next w:val="a"/>
    <w:autoRedefine/>
    <w:semiHidden/>
    <w:unhideWhenUsed/>
    <w:rsid w:val="00155D8F"/>
    <w:pPr>
      <w:spacing w:after="100"/>
      <w:ind w:left="850"/>
    </w:pPr>
  </w:style>
  <w:style w:type="paragraph" w:styleId="TOC7">
    <w:name w:val="toc 7"/>
    <w:basedOn w:val="a"/>
    <w:next w:val="a"/>
    <w:autoRedefine/>
    <w:semiHidden/>
    <w:unhideWhenUsed/>
    <w:rsid w:val="00155D8F"/>
    <w:pPr>
      <w:spacing w:after="100"/>
      <w:ind w:left="1020"/>
    </w:pPr>
  </w:style>
  <w:style w:type="paragraph" w:styleId="TOC8">
    <w:name w:val="toc 8"/>
    <w:basedOn w:val="a"/>
    <w:next w:val="a"/>
    <w:autoRedefine/>
    <w:semiHidden/>
    <w:unhideWhenUsed/>
    <w:rsid w:val="00155D8F"/>
    <w:pPr>
      <w:spacing w:after="100"/>
      <w:ind w:left="1190"/>
    </w:pPr>
  </w:style>
  <w:style w:type="paragraph" w:styleId="TOC9">
    <w:name w:val="toc 9"/>
    <w:basedOn w:val="a"/>
    <w:next w:val="a"/>
    <w:autoRedefine/>
    <w:semiHidden/>
    <w:unhideWhenUsed/>
    <w:rsid w:val="00155D8F"/>
    <w:pPr>
      <w:spacing w:after="100"/>
      <w:ind w:left="1360"/>
    </w:pPr>
  </w:style>
  <w:style w:type="paragraph" w:customStyle="1" w:styleId="TableHead2">
    <w:name w:val="Table Head2"/>
    <w:basedOn w:val="TableHead"/>
    <w:qFormat/>
    <w:rsid w:val="00155D8F"/>
    <w:pPr>
      <w:outlineLvl w:val="9"/>
    </w:pPr>
  </w:style>
  <w:style w:type="paragraph" w:customStyle="1" w:styleId="TableSideHeading2">
    <w:name w:val="Table SideHeading2"/>
    <w:basedOn w:val="TableSideHeading"/>
    <w:autoRedefine/>
    <w:qFormat/>
    <w:rsid w:val="00155D8F"/>
    <w:pPr>
      <w:keepLines w:val="0"/>
      <w:outlineLvl w:val="9"/>
    </w:pPr>
  </w:style>
  <w:style w:type="paragraph" w:customStyle="1" w:styleId="0">
    <w:name w:val="סגנון שורה ראשונה:  0  ס''מ"/>
    <w:basedOn w:val="2"/>
    <w:rsid w:val="00155D8F"/>
    <w:rPr>
      <w:rFonts w:eastAsia="Times New Roman"/>
    </w:rPr>
  </w:style>
  <w:style w:type="paragraph" w:styleId="af">
    <w:name w:val="List Paragraph"/>
    <w:basedOn w:val="a"/>
    <w:uiPriority w:val="34"/>
    <w:qFormat/>
    <w:rsid w:val="00155D8F"/>
    <w:pPr>
      <w:widowControl/>
      <w:spacing w:line="259" w:lineRule="auto"/>
    </w:pPr>
    <w:rPr>
      <w:rFonts w:asciiTheme="minorHAnsi" w:hAnsiTheme="minorHAnsi"/>
      <w:sz w:val="22"/>
    </w:rPr>
  </w:style>
  <w:style w:type="table" w:styleId="af0">
    <w:name w:val="Table Grid"/>
    <w:basedOn w:val="a1"/>
    <w:rsid w:val="00155D8F"/>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155D8F"/>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155D8F"/>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155D8F"/>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155D8F"/>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customStyle="1" w:styleId="af2">
    <w:name w:val="גוף רגיל"/>
    <w:basedOn w:val="a"/>
    <w:link w:val="Char"/>
    <w:qFormat/>
    <w:rsid w:val="000C30A6"/>
    <w:pPr>
      <w:widowControl/>
      <w:spacing w:after="160" w:line="259" w:lineRule="auto"/>
      <w:ind w:left="0"/>
      <w:contextualSpacing w:val="0"/>
    </w:pPr>
    <w:rPr>
      <w:rFonts w:eastAsia="Calibri" w:cs="Times New Roman"/>
      <w:sz w:val="22"/>
      <w:szCs w:val="22"/>
      <w:lang w:eastAsia="ja-JP"/>
    </w:rPr>
  </w:style>
  <w:style w:type="character" w:customStyle="1" w:styleId="Char">
    <w:name w:val="גוף רגיל Char"/>
    <w:link w:val="af2"/>
    <w:rsid w:val="000C30A6"/>
    <w:rPr>
      <w:rFonts w:ascii="David" w:eastAsia="Calibri" w:hAnsi="David" w:cs="Times New Roman"/>
      <w:lang w:eastAsia="ja-JP"/>
    </w:rPr>
  </w:style>
  <w:style w:type="paragraph" w:styleId="af3">
    <w:name w:val="Body Text"/>
    <w:aliases w:val="bt,Body Text1,body text1,body text,body,text,WTS"/>
    <w:basedOn w:val="a"/>
    <w:link w:val="af4"/>
    <w:qFormat/>
    <w:rsid w:val="000C30A6"/>
    <w:pPr>
      <w:widowControl/>
      <w:tabs>
        <w:tab w:val="left" w:pos="850"/>
        <w:tab w:val="left" w:pos="1191"/>
        <w:tab w:val="left" w:pos="1531"/>
      </w:tabs>
      <w:bidi w:val="0"/>
      <w:spacing w:after="240" w:line="240" w:lineRule="auto"/>
      <w:ind w:left="0" w:firstLine="442"/>
      <w:contextualSpacing w:val="0"/>
    </w:pPr>
    <w:rPr>
      <w:rFonts w:ascii="Times New Roman" w:eastAsia="Times New Roman" w:hAnsi="Times New Roman" w:cs="Times New Roman"/>
      <w:sz w:val="22"/>
      <w:szCs w:val="22"/>
      <w:lang w:val="en-GB" w:eastAsia="zh-CN" w:bidi="ar-SA"/>
    </w:rPr>
  </w:style>
  <w:style w:type="character" w:customStyle="1" w:styleId="af4">
    <w:name w:val="גוף טקסט תו"/>
    <w:aliases w:val="bt תו,Body Text1 תו,body text1 תו,body text תו,body תו,text תו,WTS תו"/>
    <w:basedOn w:val="a0"/>
    <w:link w:val="af3"/>
    <w:rsid w:val="000C30A6"/>
    <w:rPr>
      <w:rFonts w:ascii="Times New Roman" w:eastAsia="Times New Roman" w:hAnsi="Times New Roman" w:cs="Times New Roman"/>
      <w:lang w:val="en-GB" w:eastAsia="zh-CN" w:bidi="ar-SA"/>
    </w:rPr>
  </w:style>
  <w:style w:type="paragraph" w:customStyle="1" w:styleId="Cell">
    <w:name w:val="Cell"/>
    <w:basedOn w:val="a"/>
    <w:rsid w:val="000C30A6"/>
    <w:pPr>
      <w:widowControl/>
      <w:bidi w:val="0"/>
      <w:spacing w:line="240" w:lineRule="auto"/>
      <w:ind w:left="0"/>
      <w:contextualSpacing w:val="0"/>
      <w:jc w:val="left"/>
    </w:pPr>
    <w:rPr>
      <w:rFonts w:ascii="Arial" w:eastAsia="Times New Roman" w:hAnsi="Arial" w:cs="Arial"/>
      <w:sz w:val="18"/>
      <w:szCs w:val="18"/>
      <w:lang w:val="en-GB" w:eastAsia="zh-CN" w:bidi="ar-SA"/>
    </w:rPr>
  </w:style>
  <w:style w:type="paragraph" w:customStyle="1" w:styleId="ColumnsHeading">
    <w:name w:val="Columns Heading"/>
    <w:basedOn w:val="a"/>
    <w:rsid w:val="000C30A6"/>
    <w:pPr>
      <w:widowControl/>
      <w:bidi w:val="0"/>
      <w:spacing w:line="240" w:lineRule="auto"/>
      <w:ind w:left="0"/>
      <w:contextualSpacing w:val="0"/>
      <w:jc w:val="center"/>
    </w:pPr>
    <w:rPr>
      <w:rFonts w:ascii="Arial" w:eastAsia="Times New Roman" w:hAnsi="Arial" w:cs="Arial"/>
      <w:sz w:val="18"/>
      <w:szCs w:val="18"/>
      <w:lang w:val="en-GB" w:eastAsia="zh-CN" w:bidi="ar-SA"/>
    </w:rPr>
  </w:style>
  <w:style w:type="paragraph" w:customStyle="1" w:styleId="RowsHeading">
    <w:name w:val="Rows Heading"/>
    <w:basedOn w:val="a"/>
    <w:rsid w:val="000C30A6"/>
    <w:pPr>
      <w:widowControl/>
      <w:bidi w:val="0"/>
      <w:spacing w:line="240" w:lineRule="auto"/>
      <w:ind w:left="0"/>
      <w:contextualSpacing w:val="0"/>
      <w:jc w:val="left"/>
    </w:pPr>
    <w:rPr>
      <w:rFonts w:ascii="Arial" w:eastAsia="Times New Roman" w:hAnsi="Arial" w:cs="Arial"/>
      <w:sz w:val="18"/>
      <w:szCs w:val="18"/>
      <w:lang w:val="en-GB" w:eastAsia="zh-CN" w:bidi="ar-SA"/>
    </w:rPr>
  </w:style>
  <w:style w:type="paragraph" w:customStyle="1" w:styleId="TableTitle">
    <w:name w:val="Table Title"/>
    <w:basedOn w:val="a"/>
    <w:rsid w:val="000C30A6"/>
    <w:pPr>
      <w:keepNext/>
      <w:widowControl/>
      <w:tabs>
        <w:tab w:val="left" w:pos="850"/>
        <w:tab w:val="left" w:pos="1191"/>
        <w:tab w:val="left" w:pos="1531"/>
      </w:tabs>
      <w:bidi w:val="0"/>
      <w:spacing w:after="240" w:line="240" w:lineRule="auto"/>
      <w:ind w:left="0"/>
      <w:contextualSpacing w:val="0"/>
      <w:jc w:val="center"/>
    </w:pPr>
    <w:rPr>
      <w:rFonts w:ascii="Arial" w:eastAsia="Times New Roman" w:hAnsi="Arial" w:cs="Arial"/>
      <w:b/>
      <w:bCs/>
      <w:sz w:val="18"/>
      <w:szCs w:val="22"/>
      <w:lang w:val="en-GB" w:eastAsia="zh-CN" w:bidi="ar-SA"/>
    </w:rPr>
  </w:style>
  <w:style w:type="paragraph" w:styleId="af5">
    <w:name w:val="Balloon Text"/>
    <w:basedOn w:val="a"/>
    <w:link w:val="af6"/>
    <w:uiPriority w:val="99"/>
    <w:semiHidden/>
    <w:unhideWhenUsed/>
    <w:rsid w:val="004E1FA9"/>
    <w:pPr>
      <w:spacing w:line="240" w:lineRule="auto"/>
    </w:pPr>
    <w:rPr>
      <w:rFonts w:ascii="Tahoma" w:hAnsi="Tahoma" w:cs="Tahoma"/>
      <w:sz w:val="18"/>
      <w:szCs w:val="18"/>
    </w:rPr>
  </w:style>
  <w:style w:type="character" w:customStyle="1" w:styleId="af6">
    <w:name w:val="טקסט בלונים תו"/>
    <w:basedOn w:val="a0"/>
    <w:link w:val="af5"/>
    <w:uiPriority w:val="99"/>
    <w:semiHidden/>
    <w:rsid w:val="004E1FA9"/>
    <w:rPr>
      <w:rFonts w:ascii="Tahoma" w:hAnsi="Tahoma" w:cs="Tahoma"/>
      <w:sz w:val="18"/>
      <w:szCs w:val="18"/>
    </w:rPr>
  </w:style>
  <w:style w:type="character" w:styleId="af7">
    <w:name w:val="annotation reference"/>
    <w:basedOn w:val="a0"/>
    <w:uiPriority w:val="99"/>
    <w:semiHidden/>
    <w:unhideWhenUsed/>
    <w:rsid w:val="0025591A"/>
    <w:rPr>
      <w:sz w:val="16"/>
      <w:szCs w:val="16"/>
    </w:rPr>
  </w:style>
  <w:style w:type="paragraph" w:styleId="af8">
    <w:name w:val="annotation text"/>
    <w:basedOn w:val="a"/>
    <w:link w:val="af9"/>
    <w:uiPriority w:val="99"/>
    <w:semiHidden/>
    <w:unhideWhenUsed/>
    <w:rsid w:val="0025591A"/>
    <w:pPr>
      <w:spacing w:line="240" w:lineRule="auto"/>
    </w:pPr>
    <w:rPr>
      <w:sz w:val="20"/>
      <w:szCs w:val="20"/>
    </w:rPr>
  </w:style>
  <w:style w:type="character" w:customStyle="1" w:styleId="af9">
    <w:name w:val="טקסט הערה תו"/>
    <w:basedOn w:val="a0"/>
    <w:link w:val="af8"/>
    <w:uiPriority w:val="99"/>
    <w:semiHidden/>
    <w:rsid w:val="0025591A"/>
    <w:rPr>
      <w:rFonts w:ascii="David" w:hAnsi="David" w:cs="David"/>
      <w:sz w:val="20"/>
      <w:szCs w:val="20"/>
    </w:rPr>
  </w:style>
  <w:style w:type="paragraph" w:styleId="afa">
    <w:name w:val="annotation subject"/>
    <w:basedOn w:val="af8"/>
    <w:next w:val="af8"/>
    <w:link w:val="afb"/>
    <w:uiPriority w:val="99"/>
    <w:semiHidden/>
    <w:unhideWhenUsed/>
    <w:rsid w:val="0025591A"/>
    <w:rPr>
      <w:b/>
      <w:bCs/>
    </w:rPr>
  </w:style>
  <w:style w:type="character" w:customStyle="1" w:styleId="afb">
    <w:name w:val="נושא הערה תו"/>
    <w:basedOn w:val="af9"/>
    <w:link w:val="afa"/>
    <w:uiPriority w:val="99"/>
    <w:semiHidden/>
    <w:rsid w:val="0025591A"/>
    <w:rPr>
      <w:rFonts w:ascii="David" w:hAnsi="David" w:cs="Davi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004362">
      <w:bodyDiv w:val="1"/>
      <w:marLeft w:val="0"/>
      <w:marRight w:val="0"/>
      <w:marTop w:val="0"/>
      <w:marBottom w:val="0"/>
      <w:divBdr>
        <w:top w:val="none" w:sz="0" w:space="0" w:color="auto"/>
        <w:left w:val="none" w:sz="0" w:space="0" w:color="auto"/>
        <w:bottom w:val="none" w:sz="0" w:space="0" w:color="auto"/>
        <w:right w:val="none" w:sz="0" w:space="0" w:color="auto"/>
      </w:divBdr>
      <w:divsChild>
        <w:div w:id="2088921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2856</Words>
  <Characters>14282</Characters>
  <Application>Microsoft Office Word</Application>
  <DocSecurity>0</DocSecurity>
  <Lines>119</Lines>
  <Paragraphs>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לילי אור</dc:creator>
  <cp:keywords/>
  <dc:description/>
  <cp:lastModifiedBy>Dalia</cp:lastModifiedBy>
  <cp:revision>2</cp:revision>
  <dcterms:created xsi:type="dcterms:W3CDTF">2020-10-15T11:00:00Z</dcterms:created>
  <dcterms:modified xsi:type="dcterms:W3CDTF">2020-10-15T11:00:00Z</dcterms:modified>
</cp:coreProperties>
</file>